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37D26" w14:textId="77777777" w:rsidR="00E96E0F" w:rsidRPr="00625F58" w:rsidRDefault="00E96E0F" w:rsidP="00C85364">
      <w:pPr>
        <w:rPr>
          <w:rFonts w:cs="Times New Roman"/>
          <w:b/>
        </w:rPr>
      </w:pPr>
      <w:r w:rsidRPr="00625F58">
        <w:rPr>
          <w:rFonts w:cs="Times New Roman"/>
          <w:b/>
        </w:rPr>
        <w:t xml:space="preserve">Prescribed moorland burning meets good practice guidelines: a </w:t>
      </w:r>
      <w:r w:rsidR="003A7819" w:rsidRPr="00625F58">
        <w:rPr>
          <w:rFonts w:cs="Times New Roman"/>
          <w:b/>
        </w:rPr>
        <w:t xml:space="preserve">monitoring </w:t>
      </w:r>
      <w:r w:rsidRPr="00625F58">
        <w:rPr>
          <w:rFonts w:cs="Times New Roman"/>
          <w:b/>
        </w:rPr>
        <w:t>case study using aerial photography in the Peak District, UK</w:t>
      </w:r>
    </w:p>
    <w:p w14:paraId="7FC4EF65" w14:textId="77777777" w:rsidR="00131865" w:rsidRPr="00625F58" w:rsidRDefault="00131865" w:rsidP="00C85364">
      <w:pPr>
        <w:ind w:firstLine="284"/>
        <w:jc w:val="both"/>
        <w:rPr>
          <w:rFonts w:cs="Times New Roman"/>
        </w:rPr>
      </w:pPr>
    </w:p>
    <w:p w14:paraId="4120F8AB" w14:textId="77777777" w:rsidR="006B1E72" w:rsidRPr="00625F58" w:rsidRDefault="006B1E72" w:rsidP="00C85364">
      <w:pPr>
        <w:rPr>
          <w:rFonts w:cs="Times New Roman"/>
        </w:rPr>
      </w:pPr>
      <w:r w:rsidRPr="00625F58">
        <w:rPr>
          <w:rFonts w:cs="Times New Roman"/>
        </w:rPr>
        <w:t xml:space="preserve">Katherine A. Allen, Pierre </w:t>
      </w:r>
      <w:proofErr w:type="spellStart"/>
      <w:r w:rsidRPr="00625F58">
        <w:rPr>
          <w:rFonts w:cs="Times New Roman"/>
        </w:rPr>
        <w:t>Denelle</w:t>
      </w:r>
      <w:proofErr w:type="spellEnd"/>
      <w:r w:rsidRPr="00625F58">
        <w:rPr>
          <w:rFonts w:cs="Times New Roman"/>
        </w:rPr>
        <w:t xml:space="preserve">, </w:t>
      </w:r>
      <w:r w:rsidRPr="00625F58">
        <w:rPr>
          <w:rFonts w:eastAsia="Times New Roman" w:cs="Times New Roman"/>
          <w:lang w:eastAsia="en-GB"/>
        </w:rPr>
        <w:t xml:space="preserve">F.M. Sánchez Ruiz, </w:t>
      </w:r>
      <w:r w:rsidRPr="00625F58">
        <w:rPr>
          <w:rFonts w:cs="Times New Roman"/>
        </w:rPr>
        <w:t>Victor M. Santana, Rob H. Marrs</w:t>
      </w:r>
    </w:p>
    <w:p w14:paraId="28F07F14" w14:textId="77777777" w:rsidR="006B1E72" w:rsidRPr="00625F58" w:rsidRDefault="006B1E72" w:rsidP="00C85364">
      <w:pPr>
        <w:ind w:firstLine="284"/>
        <w:jc w:val="center"/>
        <w:rPr>
          <w:rFonts w:cs="Times New Roman"/>
        </w:rPr>
      </w:pPr>
    </w:p>
    <w:p w14:paraId="2D47FCA1" w14:textId="77777777" w:rsidR="002506EF" w:rsidRPr="00625F58" w:rsidRDefault="006B1E72" w:rsidP="00C85364">
      <w:pPr>
        <w:rPr>
          <w:rFonts w:eastAsiaTheme="minorEastAsia" w:cs="Times New Roman"/>
          <w:noProof/>
          <w:lang w:eastAsia="en-GB"/>
        </w:rPr>
      </w:pPr>
      <w:r w:rsidRPr="00625F58">
        <w:rPr>
          <w:rFonts w:eastAsiaTheme="minorEastAsia" w:cs="Times New Roman"/>
          <w:noProof/>
          <w:lang w:eastAsia="en-GB"/>
        </w:rPr>
        <w:t>School of Environmental Sciences</w:t>
      </w:r>
    </w:p>
    <w:p w14:paraId="3DB38893" w14:textId="77777777" w:rsidR="002506EF" w:rsidRPr="00625F58" w:rsidRDefault="006B1E72" w:rsidP="00C85364">
      <w:pPr>
        <w:rPr>
          <w:rFonts w:eastAsiaTheme="minorEastAsia" w:cs="Times New Roman"/>
          <w:noProof/>
          <w:lang w:eastAsia="en-GB"/>
        </w:rPr>
      </w:pPr>
      <w:r w:rsidRPr="00625F58">
        <w:rPr>
          <w:rFonts w:eastAsiaTheme="minorEastAsia" w:cs="Times New Roman"/>
          <w:noProof/>
          <w:lang w:eastAsia="en-GB"/>
        </w:rPr>
        <w:t>University of Liverpool</w:t>
      </w:r>
    </w:p>
    <w:p w14:paraId="2B8B524F" w14:textId="77777777" w:rsidR="006B1E72" w:rsidRPr="00625F58" w:rsidRDefault="006B1E72" w:rsidP="00C85364">
      <w:pPr>
        <w:rPr>
          <w:rFonts w:cs="Times New Roman"/>
        </w:rPr>
      </w:pPr>
      <w:r w:rsidRPr="00625F58">
        <w:rPr>
          <w:rFonts w:eastAsiaTheme="minorEastAsia" w:cs="Times New Roman"/>
          <w:noProof/>
          <w:lang w:eastAsia="en-GB"/>
        </w:rPr>
        <w:t>Liverpool L69 3GP</w:t>
      </w:r>
    </w:p>
    <w:p w14:paraId="1AE1718D" w14:textId="77777777" w:rsidR="006B1E72" w:rsidRPr="00625F58" w:rsidRDefault="006B1E72" w:rsidP="00C85364">
      <w:pPr>
        <w:ind w:firstLine="284"/>
        <w:jc w:val="both"/>
        <w:rPr>
          <w:rFonts w:cs="Times New Roman"/>
        </w:rPr>
      </w:pPr>
    </w:p>
    <w:p w14:paraId="55CDE153" w14:textId="77777777" w:rsidR="009062C2" w:rsidRPr="00625F58" w:rsidRDefault="002506EF" w:rsidP="00C85364">
      <w:pPr>
        <w:rPr>
          <w:rFonts w:cs="Times New Roman"/>
          <w:b/>
        </w:rPr>
      </w:pPr>
      <w:r w:rsidRPr="00625F58">
        <w:rPr>
          <w:rFonts w:cs="Times New Roman"/>
          <w:b/>
        </w:rPr>
        <w:t>Introduction</w:t>
      </w:r>
    </w:p>
    <w:p w14:paraId="564A0258" w14:textId="77777777" w:rsidR="002506EF" w:rsidRPr="00625F58" w:rsidRDefault="002506EF" w:rsidP="00C85364">
      <w:pPr>
        <w:rPr>
          <w:rFonts w:cs="Times New Roman"/>
          <w:b/>
        </w:rPr>
      </w:pPr>
    </w:p>
    <w:p w14:paraId="7048D7F6" w14:textId="77777777" w:rsidR="002506EF" w:rsidRPr="00625F58" w:rsidRDefault="00AF3B40" w:rsidP="00C85364">
      <w:pPr>
        <w:jc w:val="both"/>
        <w:rPr>
          <w:rFonts w:cs="Times New Roman"/>
        </w:rPr>
      </w:pPr>
      <w:r w:rsidRPr="00625F58">
        <w:t>Upland moors in the UK have been managed for centuries using rotational prescribed-burning, but in recent years there has been contentious debate over its continuing use due to varying effects on moorland ecosystem services</w:t>
      </w:r>
      <w:r w:rsidR="002506EF" w:rsidRPr="00625F58">
        <w:t xml:space="preserve"> (</w:t>
      </w:r>
      <w:hyperlink w:anchor="_ENREF_49" w:tooltip="Tucker, 2003 #215" w:history="1">
        <w:r w:rsidR="002506EF" w:rsidRPr="00625F58">
          <w:rPr>
            <w:rFonts w:cs="Times New Roman"/>
          </w:rPr>
          <w:t>Tucker 2003</w:t>
        </w:r>
      </w:hyperlink>
      <w:r w:rsidR="002506EF" w:rsidRPr="00625F58">
        <w:rPr>
          <w:rFonts w:cs="Times New Roman"/>
        </w:rPr>
        <w:t>; Bain et al., 2012)</w:t>
      </w:r>
      <w:r w:rsidRPr="00625F58">
        <w:t xml:space="preserve">. Prescribed-burning should only be carried out using good-practice codes, which include restrictions on the size, location and frequency of burns. </w:t>
      </w:r>
      <w:r w:rsidR="002506EF" w:rsidRPr="00625F58">
        <w:rPr>
          <w:rFonts w:cs="Times New Roman"/>
        </w:rPr>
        <w:t xml:space="preserve">Surprisingly, there is little information about the scale and extent of prescribed-burning over time. In Scotland, an historical comparison (1940s -1980s) of burning across two areas showed clear geographical differences, with no burning at seven out of 32 sites in the southern sample area (Borders) yet only one of 32 in the northern area (Grampians) (Hester and </w:t>
      </w:r>
      <w:proofErr w:type="spellStart"/>
      <w:r w:rsidR="002506EF" w:rsidRPr="00625F58">
        <w:rPr>
          <w:rFonts w:cs="Times New Roman"/>
        </w:rPr>
        <w:t>Sydes</w:t>
      </w:r>
      <w:proofErr w:type="spellEnd"/>
      <w:r w:rsidR="002506EF" w:rsidRPr="00625F58">
        <w:rPr>
          <w:rFonts w:cs="Times New Roman"/>
        </w:rPr>
        <w:t xml:space="preserve"> 1992). They showed that mean areas burned were similar in each region and that there was no evidence of a decline in burning activity since the 1940s. </w:t>
      </w:r>
      <w:r w:rsidR="00625F58" w:rsidRPr="00625F58">
        <w:rPr>
          <w:rFonts w:cs="Times New Roman"/>
        </w:rPr>
        <w:t xml:space="preserve"> </w:t>
      </w:r>
      <w:r w:rsidR="002506EF" w:rsidRPr="00625F58">
        <w:rPr>
          <w:rFonts w:cs="Times New Roman"/>
        </w:rPr>
        <w:t xml:space="preserve">They also reported burning rates far below the ‘optimum’ (every 10-15 years) advised by the Muirburn Working Party (1977). </w:t>
      </w:r>
      <w:r w:rsidR="00625F58" w:rsidRPr="00625F58">
        <w:rPr>
          <w:rFonts w:cs="Times New Roman"/>
        </w:rPr>
        <w:t xml:space="preserve"> </w:t>
      </w:r>
      <w:r w:rsidR="002506EF" w:rsidRPr="00625F58">
        <w:rPr>
          <w:rFonts w:cs="Times New Roman"/>
        </w:rPr>
        <w:t xml:space="preserve">In the English uplands, </w:t>
      </w:r>
      <w:proofErr w:type="spellStart"/>
      <w:r w:rsidR="002506EF" w:rsidRPr="00625F58">
        <w:rPr>
          <w:rFonts w:cs="Times New Roman"/>
        </w:rPr>
        <w:t>Yallop</w:t>
      </w:r>
      <w:proofErr w:type="spellEnd"/>
      <w:r w:rsidR="002506EF" w:rsidRPr="00625F58">
        <w:rPr>
          <w:rFonts w:cs="Times New Roman"/>
        </w:rPr>
        <w:t xml:space="preserve"> et al. (2006), also using aerial photography, provided an overall baseline assessment of burning activity of the English uplands in 2000. They showed that 17% of ericaceous-dominated moor</w:t>
      </w:r>
      <w:r w:rsidR="00625F58" w:rsidRPr="00625F58">
        <w:rPr>
          <w:rFonts w:cs="Times New Roman"/>
        </w:rPr>
        <w:t>land</w:t>
      </w:r>
      <w:r w:rsidR="002506EF" w:rsidRPr="00625F58">
        <w:rPr>
          <w:rFonts w:cs="Times New Roman"/>
        </w:rPr>
        <w:t xml:space="preserve"> (mainly </w:t>
      </w:r>
      <w:proofErr w:type="spellStart"/>
      <w:r w:rsidR="002506EF" w:rsidRPr="00625F58">
        <w:rPr>
          <w:rFonts w:cs="Times New Roman"/>
          <w:i/>
        </w:rPr>
        <w:t>Calluna</w:t>
      </w:r>
      <w:proofErr w:type="spellEnd"/>
      <w:r w:rsidR="002506EF" w:rsidRPr="00625F58">
        <w:rPr>
          <w:rFonts w:cs="Times New Roman"/>
        </w:rPr>
        <w:t xml:space="preserve">) had been burned within the previous four years, with a median repeat burn time of 20 years. They also suggested an increase in area of very recent burns in a sub-set of sites within English National Parks from 15.1% to 29.7%. </w:t>
      </w:r>
    </w:p>
    <w:p w14:paraId="3591EB15" w14:textId="77777777" w:rsidR="002506EF" w:rsidRPr="00625F58" w:rsidRDefault="002506EF" w:rsidP="00C85364">
      <w:pPr>
        <w:jc w:val="both"/>
        <w:rPr>
          <w:rFonts w:cs="Times New Roman"/>
        </w:rPr>
      </w:pPr>
    </w:p>
    <w:p w14:paraId="39F46211" w14:textId="77777777" w:rsidR="002506EF" w:rsidRPr="00625F58" w:rsidRDefault="002506EF" w:rsidP="00C85364">
      <w:pPr>
        <w:jc w:val="both"/>
        <w:rPr>
          <w:rFonts w:cs="Times New Roman"/>
        </w:rPr>
      </w:pPr>
      <w:r w:rsidRPr="00625F58">
        <w:rPr>
          <w:rFonts w:cs="Times New Roman"/>
        </w:rPr>
        <w:t xml:space="preserve">Given the contentious nature of the use of prescribed fire, it is surprising that there has been little attempt to assess management performance. Here, therefore, we investigated the use of prescribed-burning on a single case-study estate (Howden Moor) in the Peak District National Park, Derbyshire over a 22-year period. Specifically we assessed whether prescribed-burning was producing: (1) burns covering agreed proportions of the moor, i.e. appropriate rotation lengths, and (2) small burns of an appropriate size. </w:t>
      </w:r>
      <w:r w:rsidR="00625F58" w:rsidRPr="00625F58">
        <w:rPr>
          <w:rFonts w:cs="Times New Roman"/>
        </w:rPr>
        <w:t xml:space="preserve"> </w:t>
      </w:r>
      <w:r w:rsidRPr="00625F58">
        <w:rPr>
          <w:rFonts w:cs="Times New Roman"/>
        </w:rPr>
        <w:t xml:space="preserve">We also assessed the probability of a very large escape fire being produced. </w:t>
      </w:r>
      <w:r w:rsidR="00625F58" w:rsidRPr="00625F58">
        <w:rPr>
          <w:rFonts w:cs="Times New Roman"/>
        </w:rPr>
        <w:t xml:space="preserve"> </w:t>
      </w:r>
      <w:r w:rsidRPr="00625F58">
        <w:rPr>
          <w:rFonts w:cs="Times New Roman"/>
        </w:rPr>
        <w:t>We did</w:t>
      </w:r>
      <w:r w:rsidR="00625F58" w:rsidRPr="00625F58">
        <w:rPr>
          <w:rFonts w:cs="Times New Roman"/>
        </w:rPr>
        <w:t xml:space="preserve"> this by identifying and digitis</w:t>
      </w:r>
      <w:r w:rsidRPr="00625F58">
        <w:rPr>
          <w:rFonts w:cs="Times New Roman"/>
        </w:rPr>
        <w:t>ing the outlines of all the prescribed-burn patches on the estate using a combination of management maps</w:t>
      </w:r>
      <w:r w:rsidR="00625F58">
        <w:rPr>
          <w:rFonts w:cs="Times New Roman"/>
        </w:rPr>
        <w:t>,</w:t>
      </w:r>
      <w:r w:rsidRPr="00625F58">
        <w:rPr>
          <w:rFonts w:cs="Times New Roman"/>
        </w:rPr>
        <w:t xml:space="preserve"> corroborated with aerial photography for 1988-1998</w:t>
      </w:r>
      <w:r w:rsidR="00625F58">
        <w:rPr>
          <w:rFonts w:cs="Times New Roman"/>
        </w:rPr>
        <w:t>,</w:t>
      </w:r>
      <w:r w:rsidRPr="00625F58">
        <w:rPr>
          <w:rFonts w:cs="Times New Roman"/>
        </w:rPr>
        <w:t xml:space="preserve"> and aerial photography for the 2001-2008 </w:t>
      </w:r>
      <w:proofErr w:type="gramStart"/>
      <w:r w:rsidRPr="00625F58">
        <w:rPr>
          <w:rFonts w:cs="Times New Roman"/>
        </w:rPr>
        <w:t>period</w:t>
      </w:r>
      <w:proofErr w:type="gramEnd"/>
      <w:r w:rsidRPr="00625F58">
        <w:rPr>
          <w:rFonts w:cs="Times New Roman"/>
        </w:rPr>
        <w:t xml:space="preserve">. The number and area of burns were then calculated for each of the time periods. </w:t>
      </w:r>
    </w:p>
    <w:p w14:paraId="6F62ED0E" w14:textId="77777777" w:rsidR="002506EF" w:rsidRPr="00625F58" w:rsidRDefault="002506EF" w:rsidP="00625F58">
      <w:pPr>
        <w:jc w:val="both"/>
        <w:rPr>
          <w:rFonts w:cs="Times New Roman"/>
        </w:rPr>
      </w:pPr>
    </w:p>
    <w:p w14:paraId="412D2BD8" w14:textId="77777777" w:rsidR="002506EF" w:rsidRPr="00625F58" w:rsidRDefault="002506EF" w:rsidP="00C85364">
      <w:pPr>
        <w:jc w:val="both"/>
        <w:rPr>
          <w:rFonts w:cs="Times New Roman"/>
          <w:b/>
        </w:rPr>
      </w:pPr>
      <w:r w:rsidRPr="00625F58">
        <w:rPr>
          <w:rFonts w:cs="Times New Roman"/>
          <w:b/>
        </w:rPr>
        <w:t>Methods</w:t>
      </w:r>
    </w:p>
    <w:p w14:paraId="7CF7DDC0" w14:textId="77777777" w:rsidR="002506EF" w:rsidRPr="00625F58" w:rsidRDefault="002506EF" w:rsidP="00C85364">
      <w:pPr>
        <w:jc w:val="both"/>
        <w:rPr>
          <w:rFonts w:eastAsia="Times New Roman" w:cs="Times New Roman"/>
        </w:rPr>
      </w:pPr>
    </w:p>
    <w:p w14:paraId="4C02F840" w14:textId="77777777" w:rsidR="002506EF" w:rsidRPr="00625F58" w:rsidRDefault="002506EF" w:rsidP="00C85364">
      <w:pPr>
        <w:jc w:val="both"/>
        <w:rPr>
          <w:rFonts w:cs="Times New Roman"/>
        </w:rPr>
      </w:pPr>
      <w:r w:rsidRPr="00625F58">
        <w:rPr>
          <w:rFonts w:eastAsia="Times New Roman" w:cs="Times New Roman"/>
        </w:rPr>
        <w:t xml:space="preserve">This study was carried out at Howden Moor, Derbyshire, UK, which is </w:t>
      </w:r>
      <w:r w:rsidRPr="00625F58">
        <w:rPr>
          <w:rFonts w:cs="Times New Roman"/>
        </w:rPr>
        <w:t xml:space="preserve">dominated by </w:t>
      </w:r>
      <w:proofErr w:type="spellStart"/>
      <w:r w:rsidRPr="00625F58">
        <w:rPr>
          <w:rFonts w:cs="Times New Roman"/>
          <w:i/>
        </w:rPr>
        <w:t>Calluna</w:t>
      </w:r>
      <w:proofErr w:type="spellEnd"/>
      <w:r w:rsidRPr="00625F58">
        <w:rPr>
          <w:rFonts w:cs="Times New Roman"/>
          <w:i/>
        </w:rPr>
        <w:t xml:space="preserve"> vulgaris</w:t>
      </w:r>
      <w:r w:rsidRPr="00625F58">
        <w:rPr>
          <w:rFonts w:cs="Times New Roman"/>
        </w:rPr>
        <w:t>-</w:t>
      </w:r>
      <w:proofErr w:type="spellStart"/>
      <w:r w:rsidRPr="00625F58">
        <w:rPr>
          <w:rFonts w:cs="Times New Roman"/>
          <w:i/>
        </w:rPr>
        <w:t>Eriophorum</w:t>
      </w:r>
      <w:proofErr w:type="spellEnd"/>
      <w:r w:rsidRPr="00625F58">
        <w:rPr>
          <w:rFonts w:cs="Times New Roman"/>
          <w:i/>
        </w:rPr>
        <w:t xml:space="preserve"> </w:t>
      </w:r>
      <w:proofErr w:type="spellStart"/>
      <w:r w:rsidRPr="00625F58">
        <w:rPr>
          <w:rFonts w:cs="Times New Roman"/>
          <w:i/>
        </w:rPr>
        <w:t>vaginatum</w:t>
      </w:r>
      <w:proofErr w:type="spellEnd"/>
      <w:r w:rsidRPr="00625F58">
        <w:rPr>
          <w:rFonts w:cs="Times New Roman"/>
        </w:rPr>
        <w:t xml:space="preserve"> communities (M19/20 within the UK’s National Vegetation Classification), growing on Blanket Bog. We assessed prescribed-burning between 1</w:t>
      </w:r>
      <w:r w:rsidR="00625F58">
        <w:rPr>
          <w:rFonts w:cs="Times New Roman"/>
        </w:rPr>
        <w:t xml:space="preserve">988 and 2009 </w:t>
      </w:r>
      <w:r w:rsidRPr="00625F58">
        <w:rPr>
          <w:rFonts w:cs="Times New Roman"/>
        </w:rPr>
        <w:t>using a combination of</w:t>
      </w:r>
      <w:r w:rsidRPr="00625F58">
        <w:rPr>
          <w:rFonts w:cs="Times New Roman"/>
          <w:b/>
        </w:rPr>
        <w:t xml:space="preserve"> </w:t>
      </w:r>
      <w:r w:rsidRPr="00625F58">
        <w:rPr>
          <w:rFonts w:cs="Times New Roman"/>
        </w:rPr>
        <w:t>detailed estate burning maps and aerial photography within a Geographical Information System (GIS).</w:t>
      </w:r>
      <w:r w:rsidR="00625F58">
        <w:rPr>
          <w:rFonts w:cs="Times New Roman"/>
        </w:rPr>
        <w:t xml:space="preserve">  </w:t>
      </w:r>
      <w:r w:rsidRPr="00625F58">
        <w:rPr>
          <w:rFonts w:cs="Times New Roman"/>
        </w:rPr>
        <w:t xml:space="preserve">The following information was then extracted from the GIS for each </w:t>
      </w:r>
      <w:r w:rsidR="00C85364" w:rsidRPr="00625F58">
        <w:rPr>
          <w:rFonts w:cs="Times New Roman"/>
        </w:rPr>
        <w:t>period</w:t>
      </w:r>
      <w:r w:rsidRPr="00625F58">
        <w:rPr>
          <w:rFonts w:cs="Times New Roman"/>
        </w:rPr>
        <w:t>:</w:t>
      </w:r>
    </w:p>
    <w:p w14:paraId="28FA7F80" w14:textId="77777777" w:rsidR="002506EF" w:rsidRPr="00625F58" w:rsidRDefault="002506EF" w:rsidP="00625F58">
      <w:pPr>
        <w:pStyle w:val="ListParagraph"/>
        <w:numPr>
          <w:ilvl w:val="0"/>
          <w:numId w:val="2"/>
        </w:numPr>
        <w:ind w:left="851" w:hanging="425"/>
        <w:jc w:val="both"/>
        <w:rPr>
          <w:rFonts w:cs="Times New Roman"/>
        </w:rPr>
      </w:pPr>
      <w:r w:rsidRPr="00625F58">
        <w:rPr>
          <w:rFonts w:cs="Times New Roman"/>
        </w:rPr>
        <w:t xml:space="preserve">Number of burn patches. </w:t>
      </w:r>
    </w:p>
    <w:p w14:paraId="2CFA1995" w14:textId="77777777" w:rsidR="002506EF" w:rsidRPr="00625F58" w:rsidRDefault="002506EF" w:rsidP="00625F58">
      <w:pPr>
        <w:pStyle w:val="ListParagraph"/>
        <w:numPr>
          <w:ilvl w:val="0"/>
          <w:numId w:val="2"/>
        </w:numPr>
        <w:ind w:left="851" w:hanging="425"/>
        <w:jc w:val="both"/>
        <w:rPr>
          <w:rFonts w:cs="Times New Roman"/>
        </w:rPr>
      </w:pPr>
      <w:r w:rsidRPr="00625F58">
        <w:rPr>
          <w:rFonts w:cs="Times New Roman"/>
        </w:rPr>
        <w:t>Area of each burn patch.</w:t>
      </w:r>
    </w:p>
    <w:p w14:paraId="11B438EE" w14:textId="77777777" w:rsidR="002506EF" w:rsidRPr="00625F58" w:rsidRDefault="002506EF" w:rsidP="00625F58">
      <w:pPr>
        <w:pStyle w:val="ListParagraph"/>
        <w:numPr>
          <w:ilvl w:val="0"/>
          <w:numId w:val="2"/>
        </w:numPr>
        <w:ind w:left="851" w:hanging="425"/>
        <w:jc w:val="both"/>
        <w:rPr>
          <w:rFonts w:cs="Times New Roman"/>
        </w:rPr>
      </w:pPr>
      <w:r w:rsidRPr="00625F58">
        <w:rPr>
          <w:rFonts w:cs="Times New Roman"/>
        </w:rPr>
        <w:t>Overlap of burn patches in different time periods, indicating multiple fires at a single location. These areas are hereafter referred to as “repeat-burned areas”.</w:t>
      </w:r>
    </w:p>
    <w:p w14:paraId="49F8C718" w14:textId="77777777" w:rsidR="002506EF" w:rsidRPr="00625F58" w:rsidRDefault="002506EF" w:rsidP="00C85364">
      <w:pPr>
        <w:jc w:val="both"/>
        <w:rPr>
          <w:rFonts w:cs="Times New Roman"/>
        </w:rPr>
      </w:pPr>
    </w:p>
    <w:p w14:paraId="67FACC3E" w14:textId="77777777" w:rsidR="002506EF" w:rsidRPr="00625F58" w:rsidRDefault="00C85364" w:rsidP="00C85364">
      <w:pPr>
        <w:jc w:val="both"/>
        <w:rPr>
          <w:rFonts w:cs="Times New Roman"/>
        </w:rPr>
      </w:pPr>
      <w:r w:rsidRPr="00625F58">
        <w:rPr>
          <w:rFonts w:cs="Times New Roman"/>
        </w:rPr>
        <w:t>We then</w:t>
      </w:r>
      <w:r w:rsidR="002506EF" w:rsidRPr="00625F58">
        <w:rPr>
          <w:rFonts w:cs="Times New Roman"/>
        </w:rPr>
        <w:t xml:space="preserve"> calculate</w:t>
      </w:r>
      <w:r w:rsidRPr="00625F58">
        <w:rPr>
          <w:rFonts w:cs="Times New Roman"/>
        </w:rPr>
        <w:t>d</w:t>
      </w:r>
      <w:r w:rsidR="002506EF" w:rsidRPr="00625F58">
        <w:rPr>
          <w:rFonts w:cs="Times New Roman"/>
        </w:rPr>
        <w:t xml:space="preserve"> both the ‘sum of burn patch areas’ across all years (including repeat-burned areas additively) and the ‘area exposed to burning’ across all years (representing the area of ground burned at least once during the entire study period, irrespective of the number of successive burns at any one point)</w:t>
      </w:r>
      <w:r w:rsidR="00625F58">
        <w:rPr>
          <w:rFonts w:cs="Times New Roman"/>
        </w:rPr>
        <w:t>.</w:t>
      </w:r>
      <w:r w:rsidR="002506EF" w:rsidRPr="00625F58">
        <w:rPr>
          <w:rFonts w:cs="Times New Roman"/>
        </w:rPr>
        <w:t xml:space="preserve"> </w:t>
      </w:r>
      <w:r w:rsidR="00625F58">
        <w:rPr>
          <w:rFonts w:cs="Times New Roman"/>
        </w:rPr>
        <w:t xml:space="preserve"> </w:t>
      </w:r>
      <w:r w:rsidR="002506EF" w:rsidRPr="00625F58">
        <w:rPr>
          <w:rFonts w:cs="Times New Roman"/>
        </w:rPr>
        <w:t>The area of prescribed-</w:t>
      </w:r>
      <w:r w:rsidR="002506EF" w:rsidRPr="00625F58">
        <w:rPr>
          <w:rFonts w:cs="Times New Roman"/>
        </w:rPr>
        <w:lastRenderedPageBreak/>
        <w:t xml:space="preserve">burns in each period was also calculated as a percentage of both the entire moor area, and the area that was deemed “potentially burnable”. The “potentially burnable” area excludes parts of the moor where prescribed-burning was unlikely to be used; i.e. because of their topography (valley sides), substrate (rocky outcrops), or vegetation composition (protected habitats, areas dominated by </w:t>
      </w:r>
      <w:proofErr w:type="spellStart"/>
      <w:r w:rsidR="002506EF" w:rsidRPr="00625F58">
        <w:rPr>
          <w:rFonts w:cs="Times New Roman"/>
        </w:rPr>
        <w:t>graminoids</w:t>
      </w:r>
      <w:proofErr w:type="spellEnd"/>
      <w:r w:rsidR="002506EF" w:rsidRPr="00625F58">
        <w:rPr>
          <w:rFonts w:cs="Times New Roman"/>
        </w:rPr>
        <w:t xml:space="preserve"> and subject to </w:t>
      </w:r>
      <w:proofErr w:type="spellStart"/>
      <w:r w:rsidR="002506EF" w:rsidRPr="00625F58">
        <w:rPr>
          <w:rFonts w:cs="Times New Roman"/>
        </w:rPr>
        <w:t>ongoing</w:t>
      </w:r>
      <w:proofErr w:type="spellEnd"/>
      <w:r w:rsidR="002506EF" w:rsidRPr="00625F58">
        <w:rPr>
          <w:rFonts w:cs="Times New Roman"/>
        </w:rPr>
        <w:t xml:space="preserve"> restoration work). </w:t>
      </w:r>
    </w:p>
    <w:p w14:paraId="1B7A4F47" w14:textId="77777777" w:rsidR="002506EF" w:rsidRPr="00625F58" w:rsidRDefault="002506EF" w:rsidP="00C85364">
      <w:pPr>
        <w:jc w:val="both"/>
      </w:pPr>
    </w:p>
    <w:p w14:paraId="3E4007B9" w14:textId="77777777" w:rsidR="009062C2" w:rsidRPr="00625F58" w:rsidRDefault="009062C2" w:rsidP="00C85364">
      <w:pPr>
        <w:rPr>
          <w:rFonts w:cs="Times New Roman"/>
          <w:b/>
        </w:rPr>
      </w:pPr>
      <w:r w:rsidRPr="00625F58">
        <w:rPr>
          <w:rFonts w:cs="Times New Roman"/>
          <w:b/>
        </w:rPr>
        <w:t>Results</w:t>
      </w:r>
    </w:p>
    <w:p w14:paraId="39750F23" w14:textId="77777777" w:rsidR="003A5CF9" w:rsidRPr="00625F58" w:rsidRDefault="003A5CF9" w:rsidP="00625F58">
      <w:pPr>
        <w:jc w:val="both"/>
        <w:rPr>
          <w:rFonts w:cs="Times New Roman"/>
        </w:rPr>
      </w:pPr>
    </w:p>
    <w:p w14:paraId="5AD27DC4" w14:textId="77777777" w:rsidR="004142B2" w:rsidRPr="00625F58" w:rsidRDefault="00CF1E12" w:rsidP="00C85364">
      <w:pPr>
        <w:jc w:val="both"/>
        <w:rPr>
          <w:rFonts w:cs="Times New Roman"/>
        </w:rPr>
      </w:pPr>
      <w:r w:rsidRPr="00625F58">
        <w:rPr>
          <w:rFonts w:cs="Times New Roman"/>
        </w:rPr>
        <w:t xml:space="preserve">The distribution of all </w:t>
      </w:r>
      <w:r w:rsidR="007A1C62" w:rsidRPr="00625F58">
        <w:rPr>
          <w:rFonts w:cs="Times New Roman"/>
        </w:rPr>
        <w:t xml:space="preserve">prescribed-burn </w:t>
      </w:r>
      <w:r w:rsidRPr="00625F58">
        <w:rPr>
          <w:rFonts w:cs="Times New Roman"/>
        </w:rPr>
        <w:t xml:space="preserve">patches </w:t>
      </w:r>
      <w:r w:rsidR="00424D34" w:rsidRPr="00625F58">
        <w:rPr>
          <w:rFonts w:cs="Times New Roman"/>
        </w:rPr>
        <w:t>in</w:t>
      </w:r>
      <w:r w:rsidRPr="00625F58">
        <w:rPr>
          <w:rFonts w:cs="Times New Roman"/>
        </w:rPr>
        <w:t xml:space="preserve"> relation to</w:t>
      </w:r>
      <w:r w:rsidR="00EB3B12" w:rsidRPr="00625F58">
        <w:rPr>
          <w:rFonts w:cs="Times New Roman"/>
        </w:rPr>
        <w:t xml:space="preserve"> the entire moor and the </w:t>
      </w:r>
      <w:r w:rsidRPr="00625F58">
        <w:rPr>
          <w:rFonts w:cs="Times New Roman"/>
        </w:rPr>
        <w:t>“potentially-burnable” area is shown in Fi</w:t>
      </w:r>
      <w:r w:rsidR="0039569E" w:rsidRPr="00625F58">
        <w:rPr>
          <w:rFonts w:cs="Times New Roman"/>
        </w:rPr>
        <w:t>g</w:t>
      </w:r>
      <w:r w:rsidRPr="00625F58">
        <w:rPr>
          <w:rFonts w:cs="Times New Roman"/>
        </w:rPr>
        <w:t xml:space="preserve">. </w:t>
      </w:r>
      <w:r w:rsidR="00873134" w:rsidRPr="00625F58">
        <w:rPr>
          <w:rFonts w:cs="Times New Roman"/>
        </w:rPr>
        <w:t>1</w:t>
      </w:r>
      <w:r w:rsidRPr="00625F58">
        <w:rPr>
          <w:rFonts w:cs="Times New Roman"/>
        </w:rPr>
        <w:t xml:space="preserve">. </w:t>
      </w:r>
      <w:r w:rsidR="00EB3B12" w:rsidRPr="00625F58">
        <w:rPr>
          <w:rFonts w:cs="Times New Roman"/>
        </w:rPr>
        <w:t>Over the 22-</w:t>
      </w:r>
      <w:r w:rsidR="008B1626" w:rsidRPr="00625F58">
        <w:rPr>
          <w:rFonts w:cs="Times New Roman"/>
        </w:rPr>
        <w:t xml:space="preserve">year period </w:t>
      </w:r>
      <w:r w:rsidR="00F56473" w:rsidRPr="00625F58">
        <w:rPr>
          <w:rFonts w:cs="Times New Roman"/>
        </w:rPr>
        <w:t>4.</w:t>
      </w:r>
      <w:r w:rsidR="00E1697E" w:rsidRPr="00625F58">
        <w:rPr>
          <w:rFonts w:cs="Times New Roman"/>
        </w:rPr>
        <w:t xml:space="preserve">16 </w:t>
      </w:r>
      <w:r w:rsidR="00E860A5" w:rsidRPr="00625F58">
        <w:rPr>
          <w:rFonts w:cs="Times New Roman"/>
        </w:rPr>
        <w:t>x 10</w:t>
      </w:r>
      <w:r w:rsidR="00E860A5" w:rsidRPr="00625F58">
        <w:rPr>
          <w:rFonts w:cs="Times New Roman"/>
          <w:vertAlign w:val="superscript"/>
        </w:rPr>
        <w:t>6</w:t>
      </w:r>
      <w:r w:rsidR="00E860A5" w:rsidRPr="00625F58">
        <w:rPr>
          <w:rFonts w:cs="Times New Roman"/>
        </w:rPr>
        <w:t xml:space="preserve"> m</w:t>
      </w:r>
      <w:r w:rsidR="00E860A5" w:rsidRPr="00625F58">
        <w:rPr>
          <w:rFonts w:cs="Times New Roman"/>
          <w:vertAlign w:val="superscript"/>
        </w:rPr>
        <w:t>2</w:t>
      </w:r>
      <w:r w:rsidR="00E860A5" w:rsidRPr="00625F58">
        <w:rPr>
          <w:rFonts w:cs="Times New Roman"/>
        </w:rPr>
        <w:t xml:space="preserve"> </w:t>
      </w:r>
      <w:r w:rsidR="008B1626" w:rsidRPr="00625F58">
        <w:rPr>
          <w:rFonts w:cs="Times New Roman"/>
        </w:rPr>
        <w:t>was</w:t>
      </w:r>
      <w:r w:rsidR="00E860A5" w:rsidRPr="00625F58">
        <w:rPr>
          <w:rFonts w:cs="Times New Roman"/>
        </w:rPr>
        <w:t xml:space="preserve"> burned</w:t>
      </w:r>
      <w:r w:rsidR="00F56473" w:rsidRPr="00625F58">
        <w:rPr>
          <w:rFonts w:cs="Times New Roman"/>
        </w:rPr>
        <w:t xml:space="preserve"> at least once</w:t>
      </w:r>
      <w:r w:rsidR="00E860A5" w:rsidRPr="00625F58">
        <w:rPr>
          <w:rFonts w:cs="Times New Roman"/>
        </w:rPr>
        <w:t xml:space="preserve">, </w:t>
      </w:r>
      <w:r w:rsidR="00EB3B12" w:rsidRPr="00625F58">
        <w:rPr>
          <w:rFonts w:cs="Times New Roman"/>
        </w:rPr>
        <w:t xml:space="preserve">equating to </w:t>
      </w:r>
      <w:r w:rsidR="00F56473" w:rsidRPr="00625F58">
        <w:rPr>
          <w:rFonts w:cs="Times New Roman"/>
        </w:rPr>
        <w:t>2</w:t>
      </w:r>
      <w:r w:rsidR="00E1697E" w:rsidRPr="00625F58">
        <w:rPr>
          <w:rFonts w:cs="Times New Roman"/>
        </w:rPr>
        <w:t>0</w:t>
      </w:r>
      <w:r w:rsidR="008B1626" w:rsidRPr="00625F58">
        <w:rPr>
          <w:rFonts w:cs="Times New Roman"/>
        </w:rPr>
        <w:t xml:space="preserve">% of the entire moorland area or </w:t>
      </w:r>
      <w:r w:rsidR="00E1697E" w:rsidRPr="00625F58">
        <w:rPr>
          <w:rFonts w:cs="Times New Roman"/>
        </w:rPr>
        <w:t>29</w:t>
      </w:r>
      <w:r w:rsidR="006C4C86" w:rsidRPr="00625F58">
        <w:rPr>
          <w:rFonts w:cs="Times New Roman"/>
        </w:rPr>
        <w:t xml:space="preserve">% of the </w:t>
      </w:r>
      <w:r w:rsidR="008B1626" w:rsidRPr="00625F58">
        <w:rPr>
          <w:rFonts w:cs="Times New Roman"/>
        </w:rPr>
        <w:t>“potentially-burnable” area (Table 1)</w:t>
      </w:r>
      <w:r w:rsidR="00E879DC" w:rsidRPr="00625F58">
        <w:rPr>
          <w:rFonts w:cs="Times New Roman"/>
        </w:rPr>
        <w:t>; i.e. 80% of the entire moor area or 71% of the “potentially-burnable” area</w:t>
      </w:r>
      <w:r w:rsidR="008B1626" w:rsidRPr="00625F58">
        <w:rPr>
          <w:rFonts w:cs="Times New Roman"/>
        </w:rPr>
        <w:t>.</w:t>
      </w:r>
      <w:r w:rsidR="002A6F92" w:rsidRPr="00625F58">
        <w:rPr>
          <w:rFonts w:cs="Times New Roman"/>
        </w:rPr>
        <w:t xml:space="preserve"> </w:t>
      </w:r>
      <w:r w:rsidR="00D772A8" w:rsidRPr="00625F58">
        <w:rPr>
          <w:rFonts w:cs="Times New Roman"/>
        </w:rPr>
        <w:t xml:space="preserve">The sum of all burn patch areas (including </w:t>
      </w:r>
      <w:r w:rsidR="007A1C62" w:rsidRPr="00625F58">
        <w:rPr>
          <w:rFonts w:cs="Times New Roman"/>
        </w:rPr>
        <w:t xml:space="preserve">repeat-burned </w:t>
      </w:r>
      <w:r w:rsidR="00D772A8" w:rsidRPr="00625F58">
        <w:rPr>
          <w:rFonts w:cs="Times New Roman"/>
        </w:rPr>
        <w:t xml:space="preserve">areas) was </w:t>
      </w:r>
      <w:r w:rsidR="0033545D" w:rsidRPr="00625F58">
        <w:rPr>
          <w:rFonts w:cs="Times New Roman"/>
        </w:rPr>
        <w:t>5.37</w:t>
      </w:r>
      <w:r w:rsidR="00D772A8" w:rsidRPr="00625F58">
        <w:rPr>
          <w:rFonts w:cs="Times New Roman"/>
        </w:rPr>
        <w:t xml:space="preserve"> x 10</w:t>
      </w:r>
      <w:r w:rsidR="00D772A8" w:rsidRPr="00625F58">
        <w:rPr>
          <w:rFonts w:cs="Times New Roman"/>
          <w:vertAlign w:val="superscript"/>
        </w:rPr>
        <w:t>6</w:t>
      </w:r>
      <w:r w:rsidR="00D772A8" w:rsidRPr="00625F58">
        <w:rPr>
          <w:rFonts w:cs="Times New Roman"/>
        </w:rPr>
        <w:t xml:space="preserve"> m</w:t>
      </w:r>
      <w:r w:rsidR="00D772A8" w:rsidRPr="00625F58">
        <w:rPr>
          <w:rFonts w:cs="Times New Roman"/>
          <w:vertAlign w:val="superscript"/>
        </w:rPr>
        <w:t>2</w:t>
      </w:r>
      <w:r w:rsidR="00D772A8" w:rsidRPr="00625F58">
        <w:rPr>
          <w:rFonts w:cs="Times New Roman"/>
        </w:rPr>
        <w:t xml:space="preserve">. </w:t>
      </w:r>
      <w:r w:rsidR="005D6846" w:rsidRPr="00625F58">
        <w:rPr>
          <w:rFonts w:cs="Times New Roman"/>
        </w:rPr>
        <w:t xml:space="preserve">The </w:t>
      </w:r>
      <w:r w:rsidR="00CB22A8" w:rsidRPr="00625F58">
        <w:rPr>
          <w:rFonts w:cs="Times New Roman"/>
        </w:rPr>
        <w:t xml:space="preserve">annual </w:t>
      </w:r>
      <w:r w:rsidR="00603300" w:rsidRPr="00625F58">
        <w:rPr>
          <w:rFonts w:cs="Times New Roman"/>
        </w:rPr>
        <w:t xml:space="preserve">area burned fluctuated between </w:t>
      </w:r>
      <w:r w:rsidR="00CB22A8" w:rsidRPr="00625F58">
        <w:rPr>
          <w:rFonts w:cs="Times New Roman"/>
        </w:rPr>
        <w:t>0.</w:t>
      </w:r>
      <w:r w:rsidR="0033545D" w:rsidRPr="00625F58">
        <w:rPr>
          <w:rFonts w:cs="Times New Roman"/>
        </w:rPr>
        <w:t>10</w:t>
      </w:r>
      <w:r w:rsidR="00CB22A8" w:rsidRPr="00625F58">
        <w:rPr>
          <w:rFonts w:cs="Times New Roman"/>
        </w:rPr>
        <w:t>-0.</w:t>
      </w:r>
      <w:r w:rsidR="0033545D" w:rsidRPr="00625F58">
        <w:rPr>
          <w:rFonts w:cs="Times New Roman"/>
        </w:rPr>
        <w:t>34</w:t>
      </w:r>
      <w:r w:rsidR="004974E4" w:rsidRPr="00625F58">
        <w:rPr>
          <w:rFonts w:cs="Times New Roman"/>
        </w:rPr>
        <w:t xml:space="preserve"> </w:t>
      </w:r>
      <w:r w:rsidR="0033545D" w:rsidRPr="00625F58">
        <w:rPr>
          <w:rFonts w:cs="Times New Roman"/>
        </w:rPr>
        <w:t xml:space="preserve">x </w:t>
      </w:r>
      <w:r w:rsidR="00603300" w:rsidRPr="00625F58">
        <w:rPr>
          <w:rFonts w:cs="Times New Roman"/>
        </w:rPr>
        <w:t>10</w:t>
      </w:r>
      <w:r w:rsidR="00603300" w:rsidRPr="00625F58">
        <w:rPr>
          <w:rFonts w:cs="Times New Roman"/>
          <w:vertAlign w:val="superscript"/>
        </w:rPr>
        <w:t>6</w:t>
      </w:r>
      <w:r w:rsidR="00603300" w:rsidRPr="00625F58">
        <w:rPr>
          <w:rFonts w:cs="Times New Roman"/>
        </w:rPr>
        <w:t xml:space="preserve"> m</w:t>
      </w:r>
      <w:r w:rsidR="00603300" w:rsidRPr="00625F58">
        <w:rPr>
          <w:rFonts w:cs="Times New Roman"/>
          <w:vertAlign w:val="superscript"/>
        </w:rPr>
        <w:t>2</w:t>
      </w:r>
      <w:r w:rsidR="00CB22A8" w:rsidRPr="00625F58">
        <w:rPr>
          <w:rFonts w:cs="Times New Roman"/>
        </w:rPr>
        <w:t>,</w:t>
      </w:r>
      <w:r w:rsidR="003A2563" w:rsidRPr="00625F58">
        <w:rPr>
          <w:rFonts w:cs="Times New Roman"/>
        </w:rPr>
        <w:t xml:space="preserve"> with greate</w:t>
      </w:r>
      <w:r w:rsidR="00CB22A8" w:rsidRPr="00625F58">
        <w:rPr>
          <w:rFonts w:cs="Times New Roman"/>
        </w:rPr>
        <w:t>st</w:t>
      </w:r>
      <w:r w:rsidR="003A2563" w:rsidRPr="00625F58">
        <w:rPr>
          <w:rFonts w:cs="Times New Roman"/>
        </w:rPr>
        <w:t xml:space="preserve"> activity between </w:t>
      </w:r>
      <w:r w:rsidR="007A1C62" w:rsidRPr="00625F58">
        <w:rPr>
          <w:rFonts w:cs="Times New Roman"/>
        </w:rPr>
        <w:t xml:space="preserve">2006 and </w:t>
      </w:r>
      <w:r w:rsidR="003A2563" w:rsidRPr="00625F58">
        <w:rPr>
          <w:rFonts w:cs="Times New Roman"/>
        </w:rPr>
        <w:t xml:space="preserve">2009 when </w:t>
      </w:r>
      <w:proofErr w:type="spellStart"/>
      <w:r w:rsidR="003A2563" w:rsidRPr="00625F58">
        <w:rPr>
          <w:rFonts w:cs="Times New Roman"/>
        </w:rPr>
        <w:t>ca</w:t>
      </w:r>
      <w:proofErr w:type="spellEnd"/>
      <w:r w:rsidR="003A2563" w:rsidRPr="00625F58">
        <w:rPr>
          <w:rFonts w:cs="Times New Roman"/>
        </w:rPr>
        <w:t>, 1.</w:t>
      </w:r>
      <w:r w:rsidR="0033545D" w:rsidRPr="00625F58">
        <w:rPr>
          <w:rFonts w:cs="Times New Roman"/>
        </w:rPr>
        <w:t xml:space="preserve">4 </w:t>
      </w:r>
      <w:r w:rsidR="003A2563" w:rsidRPr="00625F58">
        <w:rPr>
          <w:rFonts w:cs="Times New Roman"/>
        </w:rPr>
        <w:t>x 10</w:t>
      </w:r>
      <w:r w:rsidR="003A2563" w:rsidRPr="00625F58">
        <w:rPr>
          <w:rFonts w:cs="Times New Roman"/>
          <w:vertAlign w:val="superscript"/>
        </w:rPr>
        <w:t>6</w:t>
      </w:r>
      <w:r w:rsidR="003A2563" w:rsidRPr="00625F58">
        <w:rPr>
          <w:rFonts w:cs="Times New Roman"/>
        </w:rPr>
        <w:t xml:space="preserve"> m</w:t>
      </w:r>
      <w:r w:rsidR="003A2563" w:rsidRPr="00625F58">
        <w:rPr>
          <w:rFonts w:cs="Times New Roman"/>
          <w:vertAlign w:val="superscript"/>
        </w:rPr>
        <w:t>2</w:t>
      </w:r>
      <w:r w:rsidR="003A2563" w:rsidRPr="00625F58">
        <w:rPr>
          <w:rFonts w:cs="Times New Roman"/>
        </w:rPr>
        <w:t xml:space="preserve"> </w:t>
      </w:r>
      <w:r w:rsidR="007A1C62" w:rsidRPr="00625F58">
        <w:rPr>
          <w:rFonts w:cs="Times New Roman"/>
        </w:rPr>
        <w:t>was</w:t>
      </w:r>
      <w:r w:rsidR="003A2563" w:rsidRPr="00625F58">
        <w:rPr>
          <w:rFonts w:cs="Times New Roman"/>
        </w:rPr>
        <w:t xml:space="preserve"> </w:t>
      </w:r>
      <w:r w:rsidR="005D6846" w:rsidRPr="00625F58">
        <w:rPr>
          <w:rFonts w:cs="Times New Roman"/>
        </w:rPr>
        <w:t xml:space="preserve">burned </w:t>
      </w:r>
      <w:r w:rsidR="00CB22A8" w:rsidRPr="00625F58">
        <w:rPr>
          <w:rFonts w:cs="Times New Roman"/>
        </w:rPr>
        <w:t xml:space="preserve">in total </w:t>
      </w:r>
      <w:r w:rsidR="002A6F92" w:rsidRPr="00625F58">
        <w:rPr>
          <w:rFonts w:cs="Times New Roman"/>
        </w:rPr>
        <w:t xml:space="preserve">(Table 1a). </w:t>
      </w:r>
      <w:r w:rsidR="00CB22A8" w:rsidRPr="00625F58">
        <w:rPr>
          <w:rFonts w:cs="Times New Roman"/>
        </w:rPr>
        <w:t>T</w:t>
      </w:r>
      <w:r w:rsidR="002A6F92" w:rsidRPr="00625F58">
        <w:rPr>
          <w:rFonts w:cs="Times New Roman"/>
        </w:rPr>
        <w:t xml:space="preserve">his equates to </w:t>
      </w:r>
      <w:r w:rsidR="00A14A87" w:rsidRPr="00625F58">
        <w:rPr>
          <w:rFonts w:cs="Times New Roman"/>
        </w:rPr>
        <w:t xml:space="preserve">between </w:t>
      </w:r>
      <w:r w:rsidR="00CB22A8" w:rsidRPr="00625F58">
        <w:rPr>
          <w:rFonts w:cs="Times New Roman"/>
        </w:rPr>
        <w:t>0.</w:t>
      </w:r>
      <w:r w:rsidR="0033545D" w:rsidRPr="00625F58">
        <w:rPr>
          <w:rFonts w:cs="Times New Roman"/>
        </w:rPr>
        <w:t xml:space="preserve">5 </w:t>
      </w:r>
      <w:r w:rsidR="00091ADB" w:rsidRPr="00625F58">
        <w:rPr>
          <w:rFonts w:cs="Times New Roman"/>
        </w:rPr>
        <w:t xml:space="preserve">and </w:t>
      </w:r>
      <w:r w:rsidR="00CB22A8" w:rsidRPr="00625F58">
        <w:rPr>
          <w:rFonts w:cs="Times New Roman"/>
        </w:rPr>
        <w:t>1.</w:t>
      </w:r>
      <w:r w:rsidR="0033545D" w:rsidRPr="00625F58">
        <w:rPr>
          <w:rFonts w:cs="Times New Roman"/>
        </w:rPr>
        <w:t>6</w:t>
      </w:r>
      <w:r w:rsidR="004142B2" w:rsidRPr="00625F58">
        <w:rPr>
          <w:rFonts w:cs="Times New Roman"/>
        </w:rPr>
        <w:t>% of the entire moor area</w:t>
      </w:r>
      <w:r w:rsidR="00CB22A8" w:rsidRPr="00625F58">
        <w:rPr>
          <w:rFonts w:cs="Times New Roman"/>
        </w:rPr>
        <w:t xml:space="preserve"> per year</w:t>
      </w:r>
      <w:r w:rsidR="00603300" w:rsidRPr="00625F58">
        <w:rPr>
          <w:rFonts w:cs="Times New Roman"/>
        </w:rPr>
        <w:t xml:space="preserve"> or between </w:t>
      </w:r>
      <w:r w:rsidR="0093562A" w:rsidRPr="00625F58">
        <w:rPr>
          <w:rFonts w:cs="Times New Roman"/>
        </w:rPr>
        <w:t>0.</w:t>
      </w:r>
      <w:r w:rsidR="0033545D" w:rsidRPr="00625F58">
        <w:rPr>
          <w:rFonts w:cs="Times New Roman"/>
        </w:rPr>
        <w:t xml:space="preserve">7 </w:t>
      </w:r>
      <w:r w:rsidR="00603300" w:rsidRPr="00625F58">
        <w:rPr>
          <w:rFonts w:cs="Times New Roman"/>
        </w:rPr>
        <w:t xml:space="preserve">and </w:t>
      </w:r>
      <w:r w:rsidR="0093562A" w:rsidRPr="00625F58">
        <w:rPr>
          <w:rFonts w:cs="Times New Roman"/>
        </w:rPr>
        <w:t>2.</w:t>
      </w:r>
      <w:r w:rsidR="0033545D" w:rsidRPr="00625F58">
        <w:rPr>
          <w:rFonts w:cs="Times New Roman"/>
        </w:rPr>
        <w:t>4</w:t>
      </w:r>
      <w:r w:rsidR="004142B2" w:rsidRPr="00625F58">
        <w:rPr>
          <w:rFonts w:cs="Times New Roman"/>
        </w:rPr>
        <w:t>% of the “po</w:t>
      </w:r>
      <w:r w:rsidR="00603300" w:rsidRPr="00625F58">
        <w:rPr>
          <w:rFonts w:cs="Times New Roman"/>
        </w:rPr>
        <w:t>tentially-burnable” area</w:t>
      </w:r>
      <w:r w:rsidR="0093562A" w:rsidRPr="00625F58">
        <w:rPr>
          <w:rFonts w:cs="Times New Roman"/>
        </w:rPr>
        <w:t xml:space="preserve"> per year</w:t>
      </w:r>
      <w:r w:rsidR="00603300" w:rsidRPr="00625F58">
        <w:rPr>
          <w:rFonts w:cs="Times New Roman"/>
        </w:rPr>
        <w:t xml:space="preserve"> (</w:t>
      </w:r>
      <w:r w:rsidR="004142B2" w:rsidRPr="00625F58">
        <w:rPr>
          <w:rFonts w:cs="Times New Roman"/>
        </w:rPr>
        <w:t>Table 1b).</w:t>
      </w:r>
    </w:p>
    <w:p w14:paraId="582FB00D" w14:textId="77777777" w:rsidR="006C4C86" w:rsidRPr="00625F58" w:rsidRDefault="006C4C86" w:rsidP="00625F58">
      <w:pPr>
        <w:jc w:val="both"/>
        <w:rPr>
          <w:rFonts w:cs="Times New Roman"/>
        </w:rPr>
      </w:pPr>
      <w:bookmarkStart w:id="0" w:name="_GoBack"/>
      <w:bookmarkEnd w:id="0"/>
    </w:p>
    <w:p w14:paraId="3881D97C" w14:textId="77777777" w:rsidR="00286871" w:rsidRPr="00625F58" w:rsidRDefault="00FC1DDA" w:rsidP="00C85364">
      <w:pPr>
        <w:jc w:val="both"/>
        <w:rPr>
          <w:rFonts w:cs="Times New Roman"/>
        </w:rPr>
      </w:pPr>
      <w:r w:rsidRPr="00625F58">
        <w:rPr>
          <w:rFonts w:cs="Times New Roman"/>
        </w:rPr>
        <w:t xml:space="preserve">In total, </w:t>
      </w:r>
      <w:r w:rsidR="0033545D" w:rsidRPr="00625F58">
        <w:rPr>
          <w:rFonts w:cs="Times New Roman"/>
        </w:rPr>
        <w:t>2561</w:t>
      </w:r>
      <w:r w:rsidRPr="00625F58">
        <w:rPr>
          <w:rFonts w:cs="Times New Roman"/>
        </w:rPr>
        <w:t xml:space="preserve"> </w:t>
      </w:r>
      <w:r w:rsidR="007A1C62" w:rsidRPr="00625F58">
        <w:rPr>
          <w:rFonts w:cs="Times New Roman"/>
        </w:rPr>
        <w:t xml:space="preserve">prescribed-burn </w:t>
      </w:r>
      <w:r w:rsidRPr="00625F58">
        <w:rPr>
          <w:rFonts w:cs="Times New Roman"/>
        </w:rPr>
        <w:t>patches were detected</w:t>
      </w:r>
      <w:r w:rsidR="0033545D" w:rsidRPr="00625F58">
        <w:rPr>
          <w:rFonts w:cs="Times New Roman"/>
        </w:rPr>
        <w:t>,</w:t>
      </w:r>
      <w:r w:rsidRPr="00625F58">
        <w:rPr>
          <w:rFonts w:cs="Times New Roman"/>
        </w:rPr>
        <w:t xml:space="preserve"> with the </w:t>
      </w:r>
      <w:r w:rsidR="003A5CF9" w:rsidRPr="00625F58">
        <w:rPr>
          <w:rFonts w:cs="Times New Roman"/>
        </w:rPr>
        <w:t>great</w:t>
      </w:r>
      <w:r w:rsidR="00DF4161" w:rsidRPr="00625F58">
        <w:rPr>
          <w:rFonts w:cs="Times New Roman"/>
        </w:rPr>
        <w:t xml:space="preserve">est </w:t>
      </w:r>
      <w:r w:rsidR="00106DE1" w:rsidRPr="00625F58">
        <w:rPr>
          <w:rFonts w:cs="Times New Roman"/>
        </w:rPr>
        <w:t xml:space="preserve">number </w:t>
      </w:r>
      <w:r w:rsidRPr="00625F58">
        <w:rPr>
          <w:rFonts w:cs="Times New Roman"/>
        </w:rPr>
        <w:t xml:space="preserve">found </w:t>
      </w:r>
      <w:r w:rsidR="00A4220B" w:rsidRPr="00625F58">
        <w:rPr>
          <w:rFonts w:cs="Times New Roman"/>
        </w:rPr>
        <w:t>between 1991</w:t>
      </w:r>
      <w:r w:rsidR="00E450FA" w:rsidRPr="00625F58">
        <w:rPr>
          <w:rFonts w:cs="Times New Roman"/>
        </w:rPr>
        <w:t xml:space="preserve"> and</w:t>
      </w:r>
      <w:r w:rsidR="00CF010E" w:rsidRPr="00625F58">
        <w:rPr>
          <w:rFonts w:cs="Times New Roman"/>
        </w:rPr>
        <w:t xml:space="preserve"> </w:t>
      </w:r>
      <w:r w:rsidR="00A4220B" w:rsidRPr="00625F58">
        <w:rPr>
          <w:rFonts w:cs="Times New Roman"/>
        </w:rPr>
        <w:t>1995 (</w:t>
      </w:r>
      <w:r w:rsidR="0033545D" w:rsidRPr="00625F58">
        <w:rPr>
          <w:rFonts w:cs="Times New Roman"/>
        </w:rPr>
        <w:t xml:space="preserve">716 </w:t>
      </w:r>
      <w:r w:rsidR="00DF4161" w:rsidRPr="00625F58">
        <w:rPr>
          <w:rFonts w:cs="Times New Roman"/>
        </w:rPr>
        <w:t>patches)</w:t>
      </w:r>
      <w:r w:rsidR="00A4220B" w:rsidRPr="00625F58">
        <w:rPr>
          <w:rFonts w:cs="Times New Roman"/>
        </w:rPr>
        <w:t xml:space="preserve"> </w:t>
      </w:r>
      <w:r w:rsidR="00E90FB7" w:rsidRPr="00625F58">
        <w:rPr>
          <w:rFonts w:cs="Times New Roman"/>
        </w:rPr>
        <w:t>and</w:t>
      </w:r>
      <w:r w:rsidR="00A4220B" w:rsidRPr="00625F58">
        <w:rPr>
          <w:rFonts w:cs="Times New Roman"/>
        </w:rPr>
        <w:t xml:space="preserve"> between </w:t>
      </w:r>
      <w:r w:rsidR="0033545D" w:rsidRPr="00625F58">
        <w:rPr>
          <w:rFonts w:cs="Times New Roman"/>
        </w:rPr>
        <w:t>61</w:t>
      </w:r>
      <w:r w:rsidR="00E90FB7" w:rsidRPr="00625F58">
        <w:rPr>
          <w:rFonts w:cs="Times New Roman"/>
        </w:rPr>
        <w:t xml:space="preserve"> and </w:t>
      </w:r>
      <w:r w:rsidR="0033545D" w:rsidRPr="00625F58">
        <w:rPr>
          <w:rFonts w:cs="Times New Roman"/>
        </w:rPr>
        <w:t xml:space="preserve">555 </w:t>
      </w:r>
      <w:r w:rsidR="006E0A40" w:rsidRPr="00625F58">
        <w:rPr>
          <w:rFonts w:cs="Times New Roman"/>
        </w:rPr>
        <w:t xml:space="preserve">prescribed-burn patches </w:t>
      </w:r>
      <w:r w:rsidR="00DF4161" w:rsidRPr="00625F58">
        <w:rPr>
          <w:rFonts w:cs="Times New Roman"/>
        </w:rPr>
        <w:t xml:space="preserve">in the </w:t>
      </w:r>
      <w:r w:rsidR="00CC3DBD" w:rsidRPr="00625F58">
        <w:rPr>
          <w:rFonts w:cs="Times New Roman"/>
        </w:rPr>
        <w:t>other</w:t>
      </w:r>
      <w:r w:rsidR="00DF4161" w:rsidRPr="00625F58">
        <w:rPr>
          <w:rFonts w:cs="Times New Roman"/>
        </w:rPr>
        <w:t xml:space="preserve"> time periods (Table 1a</w:t>
      </w:r>
      <w:r w:rsidR="00C14004" w:rsidRPr="00625F58">
        <w:rPr>
          <w:rFonts w:cs="Times New Roman"/>
        </w:rPr>
        <w:t xml:space="preserve">). </w:t>
      </w:r>
      <w:r w:rsidR="0093562A" w:rsidRPr="00625F58">
        <w:rPr>
          <w:rFonts w:cs="Times New Roman"/>
        </w:rPr>
        <w:t>T</w:t>
      </w:r>
      <w:r w:rsidR="00CF1E12" w:rsidRPr="00625F58">
        <w:rPr>
          <w:rFonts w:cs="Times New Roman"/>
        </w:rPr>
        <w:t xml:space="preserve">he </w:t>
      </w:r>
      <w:r w:rsidR="0093562A" w:rsidRPr="00625F58">
        <w:rPr>
          <w:rFonts w:cs="Times New Roman"/>
        </w:rPr>
        <w:t xml:space="preserve">mean (± se) </w:t>
      </w:r>
      <w:r w:rsidR="00CF1E12" w:rsidRPr="00625F58">
        <w:rPr>
          <w:rFonts w:cs="Times New Roman"/>
        </w:rPr>
        <w:t xml:space="preserve">patch size </w:t>
      </w:r>
      <w:r w:rsidR="00C13F32" w:rsidRPr="00625F58">
        <w:rPr>
          <w:rFonts w:cs="Times New Roman"/>
        </w:rPr>
        <w:t xml:space="preserve">over the entire </w:t>
      </w:r>
      <w:r w:rsidR="00E90FB7" w:rsidRPr="00625F58">
        <w:rPr>
          <w:rFonts w:cs="Times New Roman"/>
        </w:rPr>
        <w:t xml:space="preserve">22-year </w:t>
      </w:r>
      <w:r w:rsidR="00C13F32" w:rsidRPr="00625F58">
        <w:rPr>
          <w:rFonts w:cs="Times New Roman"/>
        </w:rPr>
        <w:t xml:space="preserve">period </w:t>
      </w:r>
      <w:r w:rsidR="00CF1E12" w:rsidRPr="00625F58">
        <w:rPr>
          <w:rFonts w:cs="Times New Roman"/>
        </w:rPr>
        <w:t xml:space="preserve">was </w:t>
      </w:r>
      <w:r w:rsidR="0033545D" w:rsidRPr="00625F58">
        <w:rPr>
          <w:rFonts w:cs="Times New Roman"/>
        </w:rPr>
        <w:t>2098</w:t>
      </w:r>
      <w:r w:rsidR="0093562A" w:rsidRPr="00625F58">
        <w:rPr>
          <w:rFonts w:cs="Times New Roman"/>
        </w:rPr>
        <w:t xml:space="preserve"> ± </w:t>
      </w:r>
      <w:r w:rsidR="0033545D" w:rsidRPr="00625F58">
        <w:rPr>
          <w:rFonts w:cs="Times New Roman"/>
        </w:rPr>
        <w:t xml:space="preserve">67 </w:t>
      </w:r>
      <w:r w:rsidR="00CF1E12" w:rsidRPr="00625F58">
        <w:rPr>
          <w:rFonts w:cs="Times New Roman"/>
        </w:rPr>
        <w:t>m</w:t>
      </w:r>
      <w:r w:rsidR="00CF1E12" w:rsidRPr="00625F58">
        <w:rPr>
          <w:rFonts w:cs="Times New Roman"/>
          <w:vertAlign w:val="superscript"/>
        </w:rPr>
        <w:t>2</w:t>
      </w:r>
      <w:r w:rsidR="00CF1E12" w:rsidRPr="00625F58">
        <w:rPr>
          <w:rFonts w:cs="Times New Roman"/>
        </w:rPr>
        <w:t xml:space="preserve"> (Table 1a), but the </w:t>
      </w:r>
      <w:r w:rsidRPr="00625F58">
        <w:rPr>
          <w:rFonts w:cs="Times New Roman"/>
        </w:rPr>
        <w:t>size-distrib</w:t>
      </w:r>
      <w:r w:rsidR="00CF1E12" w:rsidRPr="00625F58">
        <w:rPr>
          <w:rFonts w:cs="Times New Roman"/>
        </w:rPr>
        <w:t>u</w:t>
      </w:r>
      <w:r w:rsidRPr="00625F58">
        <w:rPr>
          <w:rFonts w:cs="Times New Roman"/>
        </w:rPr>
        <w:t>tion</w:t>
      </w:r>
      <w:r w:rsidR="008757F2" w:rsidRPr="00625F58">
        <w:rPr>
          <w:rFonts w:cs="Times New Roman"/>
        </w:rPr>
        <w:t xml:space="preserve"> </w:t>
      </w:r>
      <w:r w:rsidR="00CF1E12" w:rsidRPr="00625F58">
        <w:rPr>
          <w:rFonts w:cs="Times New Roman"/>
        </w:rPr>
        <w:t>was</w:t>
      </w:r>
      <w:r w:rsidRPr="00625F58">
        <w:rPr>
          <w:rFonts w:cs="Times New Roman"/>
        </w:rPr>
        <w:t xml:space="preserve"> </w:t>
      </w:r>
      <w:r w:rsidR="00CF1E12" w:rsidRPr="00625F58">
        <w:rPr>
          <w:rFonts w:cs="Times New Roman"/>
        </w:rPr>
        <w:t xml:space="preserve">skewed </w:t>
      </w:r>
      <w:r w:rsidRPr="00625F58">
        <w:rPr>
          <w:rFonts w:cs="Times New Roman"/>
        </w:rPr>
        <w:t xml:space="preserve">heavily </w:t>
      </w:r>
      <w:r w:rsidR="00CF1E12" w:rsidRPr="00625F58">
        <w:rPr>
          <w:rFonts w:cs="Times New Roman"/>
        </w:rPr>
        <w:t xml:space="preserve">towards small patches (Fig. </w:t>
      </w:r>
      <w:r w:rsidR="002506EF" w:rsidRPr="00625F58">
        <w:rPr>
          <w:rFonts w:cs="Times New Roman"/>
        </w:rPr>
        <w:t>2</w:t>
      </w:r>
      <w:r w:rsidR="00CF1E12" w:rsidRPr="00625F58">
        <w:rPr>
          <w:rFonts w:cs="Times New Roman"/>
        </w:rPr>
        <w:t>).</w:t>
      </w:r>
      <w:r w:rsidR="00286871" w:rsidRPr="00625F58">
        <w:rPr>
          <w:rFonts w:cs="Times New Roman"/>
        </w:rPr>
        <w:t xml:space="preserve"> Nevertheless, there were some patches in each time period that were much larger than the mean</w:t>
      </w:r>
      <w:r w:rsidR="007A1C62" w:rsidRPr="00625F58">
        <w:rPr>
          <w:rFonts w:cs="Times New Roman"/>
        </w:rPr>
        <w:t>,</w:t>
      </w:r>
      <w:r w:rsidR="00286871" w:rsidRPr="00625F58">
        <w:rPr>
          <w:rFonts w:cs="Times New Roman"/>
        </w:rPr>
        <w:t xml:space="preserve"> with the largest one at almost </w:t>
      </w:r>
      <w:r w:rsidR="000B1783" w:rsidRPr="00625F58">
        <w:rPr>
          <w:rFonts w:cs="Times New Roman"/>
        </w:rPr>
        <w:t>109,718</w:t>
      </w:r>
      <w:r w:rsidR="00286871" w:rsidRPr="00625F58">
        <w:rPr>
          <w:rFonts w:cs="Times New Roman"/>
        </w:rPr>
        <w:t xml:space="preserve"> m</w:t>
      </w:r>
      <w:r w:rsidR="00286871" w:rsidRPr="00625F58">
        <w:rPr>
          <w:rFonts w:cs="Times New Roman"/>
          <w:vertAlign w:val="superscript"/>
        </w:rPr>
        <w:t>2</w:t>
      </w:r>
      <w:r w:rsidR="00286871" w:rsidRPr="00625F58">
        <w:rPr>
          <w:rFonts w:cs="Times New Roman"/>
        </w:rPr>
        <w:t xml:space="preserve"> </w:t>
      </w:r>
      <w:r w:rsidR="00603300" w:rsidRPr="00625F58">
        <w:rPr>
          <w:rFonts w:cs="Times New Roman"/>
        </w:rPr>
        <w:t>between 1988</w:t>
      </w:r>
      <w:r w:rsidR="000E2FE5" w:rsidRPr="00625F58">
        <w:rPr>
          <w:rFonts w:cs="Times New Roman"/>
        </w:rPr>
        <w:t xml:space="preserve"> and </w:t>
      </w:r>
      <w:r w:rsidR="00603300" w:rsidRPr="00625F58">
        <w:rPr>
          <w:rFonts w:cs="Times New Roman"/>
        </w:rPr>
        <w:t>199</w:t>
      </w:r>
      <w:r w:rsidR="00CF010E" w:rsidRPr="00625F58">
        <w:rPr>
          <w:rFonts w:cs="Times New Roman"/>
        </w:rPr>
        <w:t>0</w:t>
      </w:r>
      <w:r w:rsidR="00930C35" w:rsidRPr="00625F58">
        <w:rPr>
          <w:rFonts w:cs="Times New Roman"/>
        </w:rPr>
        <w:t>.</w:t>
      </w:r>
      <w:r w:rsidR="006E48B2" w:rsidRPr="00625F58">
        <w:rPr>
          <w:rFonts w:cs="Times New Roman"/>
        </w:rPr>
        <w:t xml:space="preserve"> </w:t>
      </w:r>
      <w:r w:rsidR="00930C35" w:rsidRPr="00625F58">
        <w:rPr>
          <w:rFonts w:cs="Times New Roman"/>
        </w:rPr>
        <w:t>S</w:t>
      </w:r>
      <w:r w:rsidR="00451385" w:rsidRPr="00625F58">
        <w:rPr>
          <w:rFonts w:cs="Times New Roman"/>
        </w:rPr>
        <w:t>i</w:t>
      </w:r>
      <w:r w:rsidR="00286871" w:rsidRPr="00625F58">
        <w:rPr>
          <w:rFonts w:cs="Times New Roman"/>
        </w:rPr>
        <w:t>n</w:t>
      </w:r>
      <w:r w:rsidR="00451385" w:rsidRPr="00625F58">
        <w:rPr>
          <w:rFonts w:cs="Times New Roman"/>
        </w:rPr>
        <w:t>c</w:t>
      </w:r>
      <w:r w:rsidR="00286871" w:rsidRPr="00625F58">
        <w:rPr>
          <w:rFonts w:cs="Times New Roman"/>
        </w:rPr>
        <w:t xml:space="preserve">e </w:t>
      </w:r>
      <w:r w:rsidR="00451385" w:rsidRPr="00625F58">
        <w:rPr>
          <w:rFonts w:cs="Times New Roman"/>
        </w:rPr>
        <w:t>this early peri</w:t>
      </w:r>
      <w:r w:rsidR="00A660EE" w:rsidRPr="00625F58">
        <w:rPr>
          <w:rFonts w:cs="Times New Roman"/>
        </w:rPr>
        <w:t>od the maximum size has reduced</w:t>
      </w:r>
      <w:r w:rsidR="00930C35" w:rsidRPr="00625F58">
        <w:rPr>
          <w:rFonts w:cs="Times New Roman"/>
        </w:rPr>
        <w:t xml:space="preserve"> </w:t>
      </w:r>
      <w:r w:rsidR="000B1783" w:rsidRPr="00625F58">
        <w:rPr>
          <w:rFonts w:cs="Times New Roman"/>
        </w:rPr>
        <w:t>with only three burn patches identified greater than 20,000 m</w:t>
      </w:r>
      <w:r w:rsidR="000B1783" w:rsidRPr="00625F58">
        <w:rPr>
          <w:rFonts w:cs="Times New Roman"/>
          <w:vertAlign w:val="superscript"/>
        </w:rPr>
        <w:t>2</w:t>
      </w:r>
      <w:r w:rsidR="000B1783" w:rsidRPr="00625F58">
        <w:rPr>
          <w:rFonts w:cs="Times New Roman"/>
        </w:rPr>
        <w:t>; two between 2003-5 (37,880 and</w:t>
      </w:r>
      <w:r w:rsidR="00930C35" w:rsidRPr="00625F58">
        <w:rPr>
          <w:rFonts w:cs="Times New Roman"/>
        </w:rPr>
        <w:t xml:space="preserve"> </w:t>
      </w:r>
      <w:r w:rsidR="000B1783" w:rsidRPr="00625F58">
        <w:rPr>
          <w:rFonts w:cs="Times New Roman"/>
        </w:rPr>
        <w:t xml:space="preserve">36,478 </w:t>
      </w:r>
      <w:proofErr w:type="gramStart"/>
      <w:r w:rsidR="000B1783" w:rsidRPr="00625F58">
        <w:rPr>
          <w:rFonts w:cs="Times New Roman"/>
        </w:rPr>
        <w:t>m</w:t>
      </w:r>
      <w:r w:rsidR="000B1783" w:rsidRPr="00625F58">
        <w:rPr>
          <w:rFonts w:cs="Times New Roman"/>
          <w:vertAlign w:val="superscript"/>
        </w:rPr>
        <w:t xml:space="preserve">2 </w:t>
      </w:r>
      <w:r w:rsidR="000B1783" w:rsidRPr="00625F58">
        <w:rPr>
          <w:rFonts w:cs="Times New Roman"/>
        </w:rPr>
        <w:t>)</w:t>
      </w:r>
      <w:proofErr w:type="gramEnd"/>
      <w:r w:rsidR="000B1783" w:rsidRPr="00625F58">
        <w:rPr>
          <w:rFonts w:cs="Times New Roman"/>
        </w:rPr>
        <w:t xml:space="preserve"> and one between  2008-09 (34656</w:t>
      </w:r>
      <w:r w:rsidR="000B1783" w:rsidRPr="00625F58">
        <w:t xml:space="preserve"> </w:t>
      </w:r>
      <w:r w:rsidR="000B1783" w:rsidRPr="00625F58">
        <w:rPr>
          <w:rFonts w:cs="Times New Roman"/>
        </w:rPr>
        <w:t>m</w:t>
      </w:r>
      <w:r w:rsidR="000B1783" w:rsidRPr="00625F58">
        <w:rPr>
          <w:rFonts w:cs="Times New Roman"/>
          <w:vertAlign w:val="superscript"/>
        </w:rPr>
        <w:t>2</w:t>
      </w:r>
      <w:r w:rsidR="000B1783" w:rsidRPr="00625F58">
        <w:rPr>
          <w:rFonts w:cs="Times New Roman"/>
        </w:rPr>
        <w:t xml:space="preserve">). Thus, the maximum patch size has reduced by 68% over the study period. </w:t>
      </w:r>
    </w:p>
    <w:p w14:paraId="68814010" w14:textId="77777777" w:rsidR="00B74EBB" w:rsidRPr="00625F58" w:rsidRDefault="00B74EBB" w:rsidP="00625F58">
      <w:pPr>
        <w:jc w:val="both"/>
        <w:rPr>
          <w:rFonts w:cs="Times New Roman"/>
        </w:rPr>
      </w:pPr>
    </w:p>
    <w:p w14:paraId="418393BC" w14:textId="77777777" w:rsidR="004B4CF4" w:rsidRPr="00625F58" w:rsidRDefault="005B5F2A" w:rsidP="00C85364">
      <w:pPr>
        <w:jc w:val="both"/>
        <w:rPr>
          <w:rFonts w:cs="Times New Roman"/>
        </w:rPr>
      </w:pPr>
      <w:r w:rsidRPr="00625F58">
        <w:rPr>
          <w:rFonts w:cs="Times New Roman"/>
        </w:rPr>
        <w:t>Some areas were burned more than once during the study period</w:t>
      </w:r>
      <w:r w:rsidR="000E2FE5" w:rsidRPr="00625F58">
        <w:rPr>
          <w:rFonts w:cs="Times New Roman"/>
        </w:rPr>
        <w:t xml:space="preserve"> (repeat-burned areas)</w:t>
      </w:r>
      <w:r w:rsidRPr="00625F58">
        <w:rPr>
          <w:rFonts w:cs="Times New Roman"/>
        </w:rPr>
        <w:t xml:space="preserve">; in </w:t>
      </w:r>
      <w:r w:rsidR="00E450FA" w:rsidRPr="00625F58">
        <w:rPr>
          <w:rFonts w:cs="Times New Roman"/>
        </w:rPr>
        <w:t>total</w:t>
      </w:r>
      <w:r w:rsidRPr="00625F58">
        <w:rPr>
          <w:rFonts w:cs="Times New Roman"/>
        </w:rPr>
        <w:t xml:space="preserve"> </w:t>
      </w:r>
      <w:r w:rsidR="00791004" w:rsidRPr="00625F58">
        <w:rPr>
          <w:rFonts w:cs="Times New Roman"/>
        </w:rPr>
        <w:t>0.96</w:t>
      </w:r>
      <w:r w:rsidR="006E48B2" w:rsidRPr="00625F58">
        <w:rPr>
          <w:rFonts w:cs="Times New Roman"/>
        </w:rPr>
        <w:t xml:space="preserve"> x 10</w:t>
      </w:r>
      <w:r w:rsidR="006E48B2" w:rsidRPr="00625F58">
        <w:rPr>
          <w:rFonts w:cs="Times New Roman"/>
          <w:vertAlign w:val="superscript"/>
        </w:rPr>
        <w:t>6</w:t>
      </w:r>
      <w:r w:rsidR="006E48B2" w:rsidRPr="00625F58">
        <w:rPr>
          <w:rFonts w:cs="Times New Roman"/>
        </w:rPr>
        <w:t xml:space="preserve"> </w:t>
      </w:r>
      <w:r w:rsidR="00C72808" w:rsidRPr="00625F58">
        <w:rPr>
          <w:rFonts w:cs="Times New Roman"/>
        </w:rPr>
        <w:t>m</w:t>
      </w:r>
      <w:r w:rsidR="00C72808" w:rsidRPr="00625F58">
        <w:rPr>
          <w:rFonts w:cs="Times New Roman"/>
          <w:vertAlign w:val="superscript"/>
        </w:rPr>
        <w:t>2</w:t>
      </w:r>
      <w:r w:rsidR="00F53323" w:rsidRPr="00625F58">
        <w:rPr>
          <w:rFonts w:cs="Times New Roman"/>
        </w:rPr>
        <w:t xml:space="preserve"> </w:t>
      </w:r>
      <w:r w:rsidR="00E450FA" w:rsidRPr="00625F58">
        <w:rPr>
          <w:rFonts w:cs="Times New Roman"/>
        </w:rPr>
        <w:t>was</w:t>
      </w:r>
      <w:r w:rsidR="00F53323" w:rsidRPr="00625F58">
        <w:rPr>
          <w:rFonts w:cs="Times New Roman"/>
        </w:rPr>
        <w:t xml:space="preserve"> burned twice, </w:t>
      </w:r>
      <w:r w:rsidR="00791004" w:rsidRPr="00625F58">
        <w:rPr>
          <w:rFonts w:cs="Times New Roman"/>
        </w:rPr>
        <w:t>0.13</w:t>
      </w:r>
      <w:r w:rsidR="006E48B2" w:rsidRPr="00625F58">
        <w:rPr>
          <w:rFonts w:cs="Times New Roman"/>
        </w:rPr>
        <w:t xml:space="preserve"> x 10</w:t>
      </w:r>
      <w:r w:rsidR="006E48B2" w:rsidRPr="00625F58">
        <w:rPr>
          <w:rFonts w:cs="Times New Roman"/>
          <w:vertAlign w:val="superscript"/>
        </w:rPr>
        <w:t>6</w:t>
      </w:r>
      <w:r w:rsidR="006E48B2" w:rsidRPr="00625F58">
        <w:rPr>
          <w:rFonts w:cs="Times New Roman"/>
        </w:rPr>
        <w:t xml:space="preserve"> </w:t>
      </w:r>
      <w:r w:rsidR="00F53323" w:rsidRPr="00625F58">
        <w:rPr>
          <w:rFonts w:cs="Times New Roman"/>
        </w:rPr>
        <w:t>m</w:t>
      </w:r>
      <w:r w:rsidR="00F53323" w:rsidRPr="00625F58">
        <w:rPr>
          <w:rFonts w:cs="Times New Roman"/>
          <w:vertAlign w:val="superscript"/>
        </w:rPr>
        <w:t xml:space="preserve">2 </w:t>
      </w:r>
      <w:r w:rsidR="00F53323" w:rsidRPr="00625F58">
        <w:rPr>
          <w:rFonts w:cs="Times New Roman"/>
          <w:noProof/>
          <w:lang w:eastAsia="en-GB"/>
        </w:rPr>
        <w:t xml:space="preserve">burned thrice, </w:t>
      </w:r>
      <w:r w:rsidR="00791004" w:rsidRPr="00625F58">
        <w:rPr>
          <w:rFonts w:cs="Times New Roman"/>
        </w:rPr>
        <w:t xml:space="preserve">8292 </w:t>
      </w:r>
      <w:r w:rsidR="00F53323" w:rsidRPr="00625F58">
        <w:rPr>
          <w:rFonts w:cs="Times New Roman"/>
        </w:rPr>
        <w:t>m</w:t>
      </w:r>
      <w:r w:rsidR="00F53323" w:rsidRPr="00625F58">
        <w:rPr>
          <w:rFonts w:cs="Times New Roman"/>
          <w:vertAlign w:val="superscript"/>
        </w:rPr>
        <w:t>2</w:t>
      </w:r>
      <w:r w:rsidR="00F53323" w:rsidRPr="00625F58">
        <w:rPr>
          <w:rFonts w:cs="Times New Roman"/>
          <w:noProof/>
          <w:lang w:eastAsia="en-GB"/>
        </w:rPr>
        <w:t xml:space="preserve"> four times and 260</w:t>
      </w:r>
      <w:r w:rsidR="00F53323" w:rsidRPr="00625F58">
        <w:rPr>
          <w:rFonts w:cs="Times New Roman"/>
        </w:rPr>
        <w:t xml:space="preserve"> m</w:t>
      </w:r>
      <w:r w:rsidR="00F53323" w:rsidRPr="00625F58">
        <w:rPr>
          <w:rFonts w:cs="Times New Roman"/>
          <w:vertAlign w:val="superscript"/>
        </w:rPr>
        <w:t>2</w:t>
      </w:r>
      <w:r w:rsidR="00F53323" w:rsidRPr="00625F58">
        <w:rPr>
          <w:rFonts w:cs="Times New Roman"/>
          <w:noProof/>
          <w:lang w:eastAsia="en-GB"/>
        </w:rPr>
        <w:t xml:space="preserve"> burned five times; no patch was burned six times. </w:t>
      </w:r>
      <w:r w:rsidR="006C793D" w:rsidRPr="00625F58">
        <w:rPr>
          <w:rFonts w:cs="Times New Roman"/>
          <w:noProof/>
          <w:lang w:eastAsia="en-GB"/>
        </w:rPr>
        <w:t>Patterns of repeated burning of some areas</w:t>
      </w:r>
      <w:r w:rsidR="0034468B" w:rsidRPr="00625F58">
        <w:rPr>
          <w:rFonts w:cs="Times New Roman"/>
          <w:noProof/>
          <w:lang w:eastAsia="en-GB"/>
        </w:rPr>
        <w:t xml:space="preserve"> (Fig. </w:t>
      </w:r>
      <w:r w:rsidR="00873134" w:rsidRPr="00625F58">
        <w:rPr>
          <w:rFonts w:cs="Times New Roman"/>
          <w:noProof/>
          <w:lang w:eastAsia="en-GB"/>
        </w:rPr>
        <w:t>4</w:t>
      </w:r>
      <w:r w:rsidR="0034468B" w:rsidRPr="00625F58">
        <w:rPr>
          <w:rFonts w:cs="Times New Roman"/>
          <w:noProof/>
          <w:lang w:eastAsia="en-GB"/>
        </w:rPr>
        <w:t xml:space="preserve">) show inevitably that patches burned </w:t>
      </w:r>
      <w:r w:rsidR="00E84213" w:rsidRPr="00625F58">
        <w:rPr>
          <w:rFonts w:cs="Times New Roman"/>
          <w:noProof/>
          <w:lang w:eastAsia="en-GB"/>
        </w:rPr>
        <w:t>in earlier time periods</w:t>
      </w:r>
      <w:r w:rsidR="0034468B" w:rsidRPr="00625F58">
        <w:rPr>
          <w:rFonts w:cs="Times New Roman"/>
          <w:noProof/>
          <w:lang w:eastAsia="en-GB"/>
        </w:rPr>
        <w:t xml:space="preserve"> were more likely to be </w:t>
      </w:r>
      <w:r w:rsidR="00BA12C8" w:rsidRPr="00625F58">
        <w:rPr>
          <w:rFonts w:cs="Times New Roman"/>
          <w:noProof/>
          <w:lang w:eastAsia="en-GB"/>
        </w:rPr>
        <w:t>burned again</w:t>
      </w:r>
      <w:r w:rsidR="0034468B" w:rsidRPr="00625F58">
        <w:rPr>
          <w:rFonts w:cs="Times New Roman"/>
          <w:noProof/>
          <w:lang w:eastAsia="en-GB"/>
        </w:rPr>
        <w:t xml:space="preserve"> than pat</w:t>
      </w:r>
      <w:r w:rsidR="00E450FA" w:rsidRPr="00625F58">
        <w:rPr>
          <w:rFonts w:cs="Times New Roman"/>
          <w:noProof/>
          <w:lang w:eastAsia="en-GB"/>
        </w:rPr>
        <w:t>c</w:t>
      </w:r>
      <w:r w:rsidR="0034468B" w:rsidRPr="00625F58">
        <w:rPr>
          <w:rFonts w:cs="Times New Roman"/>
          <w:noProof/>
          <w:lang w:eastAsia="en-GB"/>
        </w:rPr>
        <w:t>hes that were first bu</w:t>
      </w:r>
      <w:r w:rsidR="00253D1A" w:rsidRPr="00625F58">
        <w:rPr>
          <w:rFonts w:cs="Times New Roman"/>
          <w:noProof/>
          <w:lang w:eastAsia="en-GB"/>
        </w:rPr>
        <w:t>r</w:t>
      </w:r>
      <w:r w:rsidR="0034468B" w:rsidRPr="00625F58">
        <w:rPr>
          <w:rFonts w:cs="Times New Roman"/>
          <w:noProof/>
          <w:lang w:eastAsia="en-GB"/>
        </w:rPr>
        <w:t xml:space="preserve">ned in later years. </w:t>
      </w:r>
      <w:r w:rsidR="00835C3A" w:rsidRPr="00625F58">
        <w:rPr>
          <w:rFonts w:cs="Times New Roman"/>
          <w:noProof/>
          <w:lang w:eastAsia="en-GB"/>
        </w:rPr>
        <w:t>Fifty-</w:t>
      </w:r>
      <w:r w:rsidR="006C793D" w:rsidRPr="00625F58">
        <w:rPr>
          <w:rFonts w:cs="Times New Roman"/>
          <w:noProof/>
          <w:lang w:eastAsia="en-GB"/>
        </w:rPr>
        <w:t xml:space="preserve">nine </w:t>
      </w:r>
      <w:r w:rsidR="0034468B" w:rsidRPr="00625F58">
        <w:rPr>
          <w:rFonts w:cs="Times New Roman"/>
          <w:noProof/>
          <w:lang w:eastAsia="en-GB"/>
        </w:rPr>
        <w:t>per cent of the 1988-199</w:t>
      </w:r>
      <w:r w:rsidR="00835C3A" w:rsidRPr="00625F58">
        <w:rPr>
          <w:rFonts w:cs="Times New Roman"/>
          <w:noProof/>
          <w:lang w:eastAsia="en-GB"/>
        </w:rPr>
        <w:t>0</w:t>
      </w:r>
      <w:r w:rsidR="0034468B" w:rsidRPr="00625F58">
        <w:rPr>
          <w:rFonts w:cs="Times New Roman"/>
          <w:noProof/>
          <w:lang w:eastAsia="en-GB"/>
        </w:rPr>
        <w:t xml:space="preserve"> burn</w:t>
      </w:r>
      <w:r w:rsidR="006C793D" w:rsidRPr="00625F58">
        <w:rPr>
          <w:rFonts w:cs="Times New Roman"/>
          <w:noProof/>
          <w:lang w:eastAsia="en-GB"/>
        </w:rPr>
        <w:t>ed area</w:t>
      </w:r>
      <w:r w:rsidR="0034468B" w:rsidRPr="00625F58">
        <w:rPr>
          <w:rFonts w:cs="Times New Roman"/>
          <w:noProof/>
          <w:lang w:eastAsia="en-GB"/>
        </w:rPr>
        <w:t xml:space="preserve"> w</w:t>
      </w:r>
      <w:r w:rsidR="006C793D" w:rsidRPr="00625F58">
        <w:rPr>
          <w:rFonts w:cs="Times New Roman"/>
          <w:noProof/>
          <w:lang w:eastAsia="en-GB"/>
        </w:rPr>
        <w:t>as</w:t>
      </w:r>
      <w:r w:rsidR="0034468B" w:rsidRPr="00625F58">
        <w:rPr>
          <w:rFonts w:cs="Times New Roman"/>
          <w:noProof/>
          <w:lang w:eastAsia="en-GB"/>
        </w:rPr>
        <w:t xml:space="preserve"> burned </w:t>
      </w:r>
      <w:r w:rsidR="00E450FA" w:rsidRPr="00625F58">
        <w:rPr>
          <w:rFonts w:cs="Times New Roman"/>
          <w:noProof/>
          <w:lang w:eastAsia="en-GB"/>
        </w:rPr>
        <w:t>at least</w:t>
      </w:r>
      <w:r w:rsidR="0034468B" w:rsidRPr="00625F58">
        <w:rPr>
          <w:rFonts w:cs="Times New Roman"/>
          <w:noProof/>
          <w:lang w:eastAsia="en-GB"/>
        </w:rPr>
        <w:t xml:space="preserve"> </w:t>
      </w:r>
      <w:r w:rsidR="00BA12C8" w:rsidRPr="00625F58">
        <w:rPr>
          <w:rFonts w:cs="Times New Roman"/>
          <w:noProof/>
          <w:lang w:eastAsia="en-GB"/>
        </w:rPr>
        <w:t>twice</w:t>
      </w:r>
      <w:r w:rsidR="008757F2" w:rsidRPr="00625F58">
        <w:rPr>
          <w:rFonts w:cs="Times New Roman"/>
          <w:noProof/>
          <w:lang w:eastAsia="en-GB"/>
        </w:rPr>
        <w:t>.</w:t>
      </w:r>
      <w:r w:rsidR="002506EF" w:rsidRPr="00625F58">
        <w:rPr>
          <w:rFonts w:cs="Times New Roman"/>
          <w:noProof/>
          <w:lang w:eastAsia="en-GB"/>
        </w:rPr>
        <w:t xml:space="preserve"> We estiamted </w:t>
      </w:r>
      <w:r w:rsidR="00167978" w:rsidRPr="00625F58">
        <w:rPr>
          <w:rFonts w:cs="Times New Roman"/>
        </w:rPr>
        <w:t xml:space="preserve">a 1 in a </w:t>
      </w:r>
      <w:r w:rsidR="00E46661" w:rsidRPr="00625F58">
        <w:rPr>
          <w:rFonts w:cs="Times New Roman"/>
        </w:rPr>
        <w:t>20</w:t>
      </w:r>
      <w:r w:rsidR="00402851" w:rsidRPr="00625F58">
        <w:rPr>
          <w:rFonts w:cs="Times New Roman"/>
        </w:rPr>
        <w:t xml:space="preserve"> </w:t>
      </w:r>
      <w:r w:rsidR="00167978" w:rsidRPr="00625F58">
        <w:rPr>
          <w:rFonts w:cs="Times New Roman"/>
        </w:rPr>
        <w:t xml:space="preserve">chance of having an individual burn patch </w:t>
      </w:r>
      <w:r w:rsidR="00402851" w:rsidRPr="00625F58">
        <w:rPr>
          <w:rFonts w:cs="Times New Roman"/>
        </w:rPr>
        <w:t>greater than</w:t>
      </w:r>
      <w:r w:rsidR="0001644A" w:rsidRPr="00625F58">
        <w:rPr>
          <w:rFonts w:cs="Times New Roman"/>
        </w:rPr>
        <w:t xml:space="preserve"> </w:t>
      </w:r>
      <w:r w:rsidR="00402851" w:rsidRPr="00625F58">
        <w:rPr>
          <w:rFonts w:cs="Times New Roman"/>
        </w:rPr>
        <w:t>6</w:t>
      </w:r>
      <w:r w:rsidR="00C14004" w:rsidRPr="00625F58">
        <w:rPr>
          <w:rFonts w:cs="Times New Roman"/>
        </w:rPr>
        <w:t>,</w:t>
      </w:r>
      <w:r w:rsidR="00E46661" w:rsidRPr="00625F58">
        <w:rPr>
          <w:rFonts w:cs="Times New Roman"/>
        </w:rPr>
        <w:t>464</w:t>
      </w:r>
      <w:r w:rsidR="00402851" w:rsidRPr="00625F58">
        <w:rPr>
          <w:rFonts w:cs="Times New Roman"/>
        </w:rPr>
        <w:t xml:space="preserve"> </w:t>
      </w:r>
      <w:r w:rsidR="0001644A" w:rsidRPr="00625F58">
        <w:rPr>
          <w:rFonts w:cs="Times New Roman"/>
        </w:rPr>
        <w:t>m</w:t>
      </w:r>
      <w:r w:rsidR="0001644A" w:rsidRPr="00625F58">
        <w:rPr>
          <w:rFonts w:cs="Times New Roman"/>
          <w:vertAlign w:val="superscript"/>
        </w:rPr>
        <w:t>2</w:t>
      </w:r>
      <w:r w:rsidR="00402851" w:rsidRPr="00625F58">
        <w:rPr>
          <w:rFonts w:cs="Times New Roman"/>
          <w:vertAlign w:val="superscript"/>
        </w:rPr>
        <w:t xml:space="preserve"> </w:t>
      </w:r>
      <w:r w:rsidR="00402851" w:rsidRPr="00625F58">
        <w:rPr>
          <w:rFonts w:cs="Times New Roman"/>
        </w:rPr>
        <w:t>and a 1 in 100 chance of having one greater than 1</w:t>
      </w:r>
      <w:r w:rsidR="00E46661" w:rsidRPr="00625F58">
        <w:rPr>
          <w:rFonts w:cs="Times New Roman"/>
        </w:rPr>
        <w:t>4</w:t>
      </w:r>
      <w:r w:rsidR="0000263A" w:rsidRPr="00625F58">
        <w:rPr>
          <w:rFonts w:cs="Times New Roman"/>
        </w:rPr>
        <w:t>,</w:t>
      </w:r>
      <w:r w:rsidR="00E46661" w:rsidRPr="00625F58">
        <w:rPr>
          <w:rFonts w:cs="Times New Roman"/>
        </w:rPr>
        <w:t xml:space="preserve">835 </w:t>
      </w:r>
      <w:r w:rsidR="00402851" w:rsidRPr="00625F58">
        <w:rPr>
          <w:rFonts w:cs="Times New Roman"/>
        </w:rPr>
        <w:t>m</w:t>
      </w:r>
      <w:r w:rsidR="00402851" w:rsidRPr="00625F58">
        <w:rPr>
          <w:rFonts w:cs="Times New Roman"/>
          <w:vertAlign w:val="superscript"/>
        </w:rPr>
        <w:t>2</w:t>
      </w:r>
      <w:r w:rsidR="00402851" w:rsidRPr="00625F58">
        <w:rPr>
          <w:rFonts w:cs="Times New Roman"/>
        </w:rPr>
        <w:t>. T</w:t>
      </w:r>
      <w:r w:rsidR="0001644A" w:rsidRPr="00625F58">
        <w:rPr>
          <w:rFonts w:cs="Times New Roman"/>
        </w:rPr>
        <w:t xml:space="preserve">his assumes that the burn patches were all created individually </w:t>
      </w:r>
      <w:r w:rsidR="00E450FA" w:rsidRPr="00625F58">
        <w:rPr>
          <w:rFonts w:cs="Times New Roman"/>
        </w:rPr>
        <w:t>whereas in reality a</w:t>
      </w:r>
      <w:r w:rsidR="0001644A" w:rsidRPr="00625F58">
        <w:rPr>
          <w:rFonts w:cs="Times New Roman"/>
        </w:rPr>
        <w:t>t least</w:t>
      </w:r>
      <w:r w:rsidR="00CF010E" w:rsidRPr="00625F58">
        <w:rPr>
          <w:rFonts w:cs="Times New Roman"/>
        </w:rPr>
        <w:t xml:space="preserve"> </w:t>
      </w:r>
      <w:proofErr w:type="gramStart"/>
      <w:r w:rsidR="00CF010E" w:rsidRPr="00625F58">
        <w:rPr>
          <w:rFonts w:cs="Times New Roman"/>
        </w:rPr>
        <w:t>some</w:t>
      </w:r>
      <w:r w:rsidR="0001644A" w:rsidRPr="00625F58">
        <w:rPr>
          <w:rFonts w:cs="Times New Roman"/>
        </w:rPr>
        <w:t xml:space="preserve"> were created by burning into existing patches</w:t>
      </w:r>
      <w:proofErr w:type="gramEnd"/>
      <w:r w:rsidR="0001644A" w:rsidRPr="00625F58">
        <w:rPr>
          <w:rFonts w:cs="Times New Roman"/>
        </w:rPr>
        <w:t>. Thus, these are over-estimates of the actual sizes</w:t>
      </w:r>
      <w:r w:rsidR="00E450FA" w:rsidRPr="00625F58">
        <w:rPr>
          <w:rFonts w:cs="Times New Roman"/>
        </w:rPr>
        <w:t xml:space="preserve"> associated with these probabilities</w:t>
      </w:r>
      <w:r w:rsidR="0001644A" w:rsidRPr="00625F58">
        <w:rPr>
          <w:rFonts w:cs="Times New Roman"/>
        </w:rPr>
        <w:t>.</w:t>
      </w:r>
    </w:p>
    <w:p w14:paraId="6FC758AE" w14:textId="77777777" w:rsidR="008757F2" w:rsidRPr="00625F58" w:rsidRDefault="008757F2" w:rsidP="00625F58">
      <w:pPr>
        <w:jc w:val="both"/>
        <w:rPr>
          <w:rFonts w:cs="Times New Roman"/>
          <w:b/>
        </w:rPr>
      </w:pPr>
    </w:p>
    <w:p w14:paraId="4DA1ECB1" w14:textId="77777777" w:rsidR="008757F2" w:rsidRPr="00625F58" w:rsidRDefault="008757F2" w:rsidP="00C85364">
      <w:pPr>
        <w:jc w:val="both"/>
        <w:rPr>
          <w:rFonts w:cs="Times New Roman"/>
          <w:b/>
        </w:rPr>
      </w:pPr>
      <w:r w:rsidRPr="00625F58">
        <w:rPr>
          <w:rFonts w:cs="Times New Roman"/>
          <w:b/>
        </w:rPr>
        <w:t>Discussion</w:t>
      </w:r>
    </w:p>
    <w:p w14:paraId="58022847" w14:textId="77777777" w:rsidR="00500960" w:rsidRPr="00625F58" w:rsidRDefault="00500960" w:rsidP="00625F58">
      <w:pPr>
        <w:jc w:val="both"/>
        <w:rPr>
          <w:rFonts w:cs="Times New Roman"/>
        </w:rPr>
      </w:pPr>
      <w:r w:rsidRPr="00625F58">
        <w:rPr>
          <w:rFonts w:cs="Times New Roman"/>
        </w:rPr>
        <w:t>Prescribed burning on moorlands is a contentious contemporary issue (Bain et al., 2011) and there is currently insufficient evidence on which to base good practice guidelines in the interests of both conservation and preservation of ecosystem services. However, in Great Britain</w:t>
      </w:r>
      <w:r w:rsidR="008757F2" w:rsidRPr="00625F58">
        <w:rPr>
          <w:rFonts w:cs="Times New Roman"/>
        </w:rPr>
        <w:t>,</w:t>
      </w:r>
      <w:r w:rsidRPr="00625F58">
        <w:rPr>
          <w:rFonts w:cs="Times New Roman"/>
        </w:rPr>
        <w:t xml:space="preserve"> most burning requires consent from one of the conservation statutory agencies and much is covered within </w:t>
      </w:r>
      <w:proofErr w:type="spellStart"/>
      <w:r w:rsidRPr="00625F58">
        <w:rPr>
          <w:rFonts w:cs="Times New Roman"/>
        </w:rPr>
        <w:t>Agri</w:t>
      </w:r>
      <w:proofErr w:type="spellEnd"/>
      <w:r w:rsidRPr="00625F58">
        <w:rPr>
          <w:rFonts w:cs="Times New Roman"/>
        </w:rPr>
        <w:t xml:space="preserve">-Environment schemes such as Environmentally Sensitive Areas and Countryside\Environmental Stewardship (Anon 2002, 2014). Codes of good burning practice have been developed but there is continued suspicion that these are not being adhered to and that prescribed fires will escape leading to wildfires over very large areas and potentially damaging sensitive habitats designated as no-burn areas. Moreover, weather and terrain constraints make some parts of compliance difficult, especially with respect to general annual burn-area quotas. In some years almost no burning is possible and in others, when the conditions are favourable, there may be intense activity. </w:t>
      </w:r>
      <w:proofErr w:type="spellStart"/>
      <w:r w:rsidR="00C85364" w:rsidRPr="00625F58">
        <w:rPr>
          <w:rFonts w:cs="Times New Roman"/>
        </w:rPr>
        <w:t>Here</w:t>
      </w:r>
      <w:proofErr w:type="gramStart"/>
      <w:r w:rsidR="00C85364" w:rsidRPr="00625F58">
        <w:rPr>
          <w:rFonts w:cs="Times New Roman"/>
        </w:rPr>
        <w:t>,</w:t>
      </w:r>
      <w:r w:rsidRPr="00625F58">
        <w:rPr>
          <w:rFonts w:cs="Times New Roman"/>
        </w:rPr>
        <w:t>we</w:t>
      </w:r>
      <w:proofErr w:type="spellEnd"/>
      <w:proofErr w:type="gramEnd"/>
      <w:r w:rsidRPr="00625F58">
        <w:rPr>
          <w:rFonts w:cs="Times New Roman"/>
        </w:rPr>
        <w:t xml:space="preserve"> have attempted to </w:t>
      </w:r>
      <w:r w:rsidR="00C85364" w:rsidRPr="00625F58">
        <w:rPr>
          <w:rFonts w:cs="Times New Roman"/>
        </w:rPr>
        <w:t xml:space="preserve">monitor </w:t>
      </w:r>
      <w:proofErr w:type="spellStart"/>
      <w:r w:rsidR="00C85364" w:rsidRPr="00625F58">
        <w:rPr>
          <w:rFonts w:cs="Times New Roman"/>
        </w:rPr>
        <w:t>performace</w:t>
      </w:r>
      <w:proofErr w:type="spellEnd"/>
      <w:r w:rsidRPr="00625F58">
        <w:rPr>
          <w:rFonts w:cs="Times New Roman"/>
        </w:rPr>
        <w:t xml:space="preserve"> for a single, case-study site in the Peak District using estate maps</w:t>
      </w:r>
      <w:r w:rsidR="00C85364" w:rsidRPr="00625F58">
        <w:rPr>
          <w:rFonts w:cs="Times New Roman"/>
        </w:rPr>
        <w:t>.</w:t>
      </w:r>
      <w:r w:rsidRPr="00625F58">
        <w:rPr>
          <w:rFonts w:cs="Times New Roman"/>
        </w:rPr>
        <w:t xml:space="preserve"> Five important results were obtained, these were:</w:t>
      </w:r>
    </w:p>
    <w:p w14:paraId="65D00DCC" w14:textId="77777777" w:rsidR="00500960" w:rsidRPr="00625F58" w:rsidRDefault="00500960" w:rsidP="00C85364">
      <w:pPr>
        <w:pStyle w:val="ListParagraph"/>
        <w:numPr>
          <w:ilvl w:val="0"/>
          <w:numId w:val="15"/>
        </w:numPr>
        <w:ind w:left="1276" w:hanging="490"/>
        <w:jc w:val="both"/>
        <w:rPr>
          <w:rFonts w:cs="Times New Roman"/>
        </w:rPr>
      </w:pPr>
      <w:r w:rsidRPr="00625F58">
        <w:rPr>
          <w:rFonts w:cs="Times New Roman"/>
        </w:rPr>
        <w:t>The annual area burned on Howden Moor (0.9% per year) was far below the current amount recommended by the statutory conservation agency (10% per year).</w:t>
      </w:r>
    </w:p>
    <w:p w14:paraId="79AE3B6C" w14:textId="77777777" w:rsidR="00E879DC" w:rsidRPr="00625F58" w:rsidRDefault="00E879DC" w:rsidP="00C85364">
      <w:pPr>
        <w:pStyle w:val="ListParagraph"/>
        <w:numPr>
          <w:ilvl w:val="0"/>
          <w:numId w:val="15"/>
        </w:numPr>
        <w:ind w:left="1276" w:hanging="490"/>
        <w:jc w:val="both"/>
        <w:rPr>
          <w:rFonts w:cs="Times New Roman"/>
        </w:rPr>
      </w:pPr>
      <w:r w:rsidRPr="00625F58">
        <w:rPr>
          <w:rFonts w:cs="Times New Roman"/>
        </w:rPr>
        <w:t>Greater than 70% of the “potentially-burnable” area remained unburned.</w:t>
      </w:r>
    </w:p>
    <w:p w14:paraId="2C2AA927" w14:textId="77777777" w:rsidR="00500960" w:rsidRPr="00625F58" w:rsidRDefault="00500960" w:rsidP="00C85364">
      <w:pPr>
        <w:pStyle w:val="ListParagraph"/>
        <w:numPr>
          <w:ilvl w:val="0"/>
          <w:numId w:val="15"/>
        </w:numPr>
        <w:ind w:left="1276" w:hanging="490"/>
        <w:jc w:val="both"/>
        <w:rPr>
          <w:rFonts w:cs="Times New Roman"/>
        </w:rPr>
      </w:pPr>
      <w:r w:rsidRPr="00625F58">
        <w:rPr>
          <w:rFonts w:cs="Times New Roman"/>
        </w:rPr>
        <w:lastRenderedPageBreak/>
        <w:t>There was some evidence for a general increase in the annual area burned since 1988, but it has fluctuated through time.</w:t>
      </w:r>
    </w:p>
    <w:p w14:paraId="7BA80E03" w14:textId="77777777" w:rsidR="00500960" w:rsidRPr="00625F58" w:rsidRDefault="00500960" w:rsidP="00C85364">
      <w:pPr>
        <w:pStyle w:val="ListParagraph"/>
        <w:numPr>
          <w:ilvl w:val="0"/>
          <w:numId w:val="15"/>
        </w:numPr>
        <w:ind w:left="1276" w:hanging="490"/>
        <w:jc w:val="both"/>
        <w:rPr>
          <w:rFonts w:cs="Times New Roman"/>
        </w:rPr>
      </w:pPr>
      <w:r w:rsidRPr="00625F58">
        <w:rPr>
          <w:rFonts w:cs="Times New Roman"/>
        </w:rPr>
        <w:t>Burn patches are in keeping with the target sizes specified by best practice guidelines.</w:t>
      </w:r>
    </w:p>
    <w:p w14:paraId="792E88EA" w14:textId="77777777" w:rsidR="00500960" w:rsidRPr="00625F58" w:rsidRDefault="00500960" w:rsidP="00C85364">
      <w:pPr>
        <w:pStyle w:val="ListParagraph"/>
        <w:numPr>
          <w:ilvl w:val="0"/>
          <w:numId w:val="15"/>
        </w:numPr>
        <w:ind w:left="1276" w:hanging="490"/>
        <w:jc w:val="both"/>
        <w:rPr>
          <w:rFonts w:cs="Times New Roman"/>
        </w:rPr>
      </w:pPr>
      <w:r w:rsidRPr="00625F58">
        <w:rPr>
          <w:rFonts w:cs="Times New Roman"/>
        </w:rPr>
        <w:t>The risk of a large or escaped fire is very low and no incidents requiring Fire and Rescue Service assistance occurred during the study period.</w:t>
      </w:r>
    </w:p>
    <w:p w14:paraId="094774B8" w14:textId="77777777" w:rsidR="00500960" w:rsidRPr="00625F58" w:rsidRDefault="00500960" w:rsidP="00C85364">
      <w:pPr>
        <w:pStyle w:val="ListParagraph"/>
        <w:numPr>
          <w:ilvl w:val="0"/>
          <w:numId w:val="15"/>
        </w:numPr>
        <w:ind w:left="1276" w:hanging="490"/>
        <w:jc w:val="both"/>
        <w:rPr>
          <w:rFonts w:cs="Times New Roman"/>
        </w:rPr>
      </w:pPr>
      <w:r w:rsidRPr="00625F58">
        <w:rPr>
          <w:rFonts w:cs="Times New Roman"/>
        </w:rPr>
        <w:t>Aerial photography provided an effective tool for monitoring prescribed burning management.</w:t>
      </w:r>
    </w:p>
    <w:p w14:paraId="15556620" w14:textId="77777777" w:rsidR="00B55FF7" w:rsidRPr="00625F58" w:rsidRDefault="00500960" w:rsidP="00C85364">
      <w:pPr>
        <w:ind w:firstLine="284"/>
        <w:jc w:val="both"/>
        <w:rPr>
          <w:rFonts w:cs="Times New Roman"/>
        </w:rPr>
      </w:pPr>
      <w:r w:rsidRPr="00625F58">
        <w:rPr>
          <w:rFonts w:cs="Times New Roman"/>
        </w:rPr>
        <w:t xml:space="preserve">Over </w:t>
      </w:r>
      <w:r w:rsidR="0017235E" w:rsidRPr="00625F58">
        <w:rPr>
          <w:rFonts w:cs="Times New Roman"/>
        </w:rPr>
        <w:t xml:space="preserve">most of </w:t>
      </w:r>
      <w:r w:rsidRPr="00625F58">
        <w:rPr>
          <w:rFonts w:cs="Times New Roman"/>
        </w:rPr>
        <w:t>this study period, the statutory agenc</w:t>
      </w:r>
      <w:r w:rsidR="0017235E" w:rsidRPr="00625F58">
        <w:rPr>
          <w:rFonts w:cs="Times New Roman"/>
        </w:rPr>
        <w:t>ies</w:t>
      </w:r>
      <w:r w:rsidRPr="00625F58">
        <w:rPr>
          <w:rFonts w:cs="Times New Roman"/>
        </w:rPr>
        <w:t xml:space="preserve"> recommendations for </w:t>
      </w:r>
      <w:r w:rsidR="0017235E" w:rsidRPr="00625F58">
        <w:rPr>
          <w:rFonts w:cs="Times New Roman"/>
        </w:rPr>
        <w:t xml:space="preserve">these </w:t>
      </w:r>
      <w:r w:rsidRPr="00625F58">
        <w:rPr>
          <w:rFonts w:cs="Times New Roman"/>
        </w:rPr>
        <w:t xml:space="preserve">Peak District moorlands were that </w:t>
      </w:r>
      <w:r w:rsidR="0017235E" w:rsidRPr="00625F58">
        <w:rPr>
          <w:rFonts w:cs="Times New Roman"/>
        </w:rPr>
        <w:t>7</w:t>
      </w:r>
      <w:r w:rsidRPr="00625F58">
        <w:rPr>
          <w:rFonts w:cs="Times New Roman"/>
        </w:rPr>
        <w:t xml:space="preserve">% of the burnable moorland area should be burned annually, i.e. on a </w:t>
      </w:r>
      <w:r w:rsidR="0017235E" w:rsidRPr="00625F58">
        <w:rPr>
          <w:rFonts w:cs="Times New Roman"/>
        </w:rPr>
        <w:t>15</w:t>
      </w:r>
      <w:r w:rsidRPr="00625F58">
        <w:rPr>
          <w:rFonts w:cs="Times New Roman"/>
        </w:rPr>
        <w:t>-year rotation interval, accepting that some areas remain unburned</w:t>
      </w:r>
      <w:r w:rsidR="0017235E" w:rsidRPr="00625F58">
        <w:rPr>
          <w:rFonts w:cs="Times New Roman"/>
        </w:rPr>
        <w:t xml:space="preserve"> (Starbuck and Harris, 1991; within Eyre, 2014)</w:t>
      </w:r>
      <w:r w:rsidRPr="00625F58">
        <w:rPr>
          <w:rFonts w:cs="Times New Roman"/>
        </w:rPr>
        <w:t xml:space="preserve">. Actual annual burning rates on Howden moor over the last three decades were far below this current recommendation, </w:t>
      </w:r>
      <w:r w:rsidR="008757F2" w:rsidRPr="00625F58">
        <w:rPr>
          <w:rFonts w:cs="Times New Roman"/>
        </w:rPr>
        <w:t xml:space="preserve">with only 0.7-2.4% of the </w:t>
      </w:r>
      <w:proofErr w:type="gramStart"/>
      <w:r w:rsidR="008757F2" w:rsidRPr="00625F58">
        <w:rPr>
          <w:rFonts w:cs="Times New Roman"/>
        </w:rPr>
        <w:t>potentially-burnable</w:t>
      </w:r>
      <w:proofErr w:type="gramEnd"/>
      <w:r w:rsidR="008757F2" w:rsidRPr="00625F58">
        <w:rPr>
          <w:rFonts w:cs="Times New Roman"/>
        </w:rPr>
        <w:t xml:space="preserve"> area burned annually on average (0.5-1.6% of the entire moor). </w:t>
      </w:r>
    </w:p>
    <w:p w14:paraId="083BA4B5" w14:textId="77777777" w:rsidR="00500960" w:rsidRPr="00625F58" w:rsidRDefault="00500960" w:rsidP="00C85364">
      <w:pPr>
        <w:ind w:firstLine="284"/>
        <w:jc w:val="both"/>
        <w:rPr>
          <w:rFonts w:cs="Times New Roman"/>
        </w:rPr>
      </w:pPr>
    </w:p>
    <w:p w14:paraId="732A6760" w14:textId="77777777" w:rsidR="00FF750C" w:rsidRPr="00625F58" w:rsidRDefault="00FF750C" w:rsidP="00C85364">
      <w:pPr>
        <w:jc w:val="both"/>
        <w:rPr>
          <w:rFonts w:cs="Times New Roman"/>
        </w:rPr>
      </w:pPr>
      <w:r w:rsidRPr="00625F58">
        <w:rPr>
          <w:rFonts w:cs="Times New Roman"/>
          <w:b/>
        </w:rPr>
        <w:t>Acknowledgements</w:t>
      </w:r>
    </w:p>
    <w:p w14:paraId="3CCCD3D9" w14:textId="77777777" w:rsidR="00C85364" w:rsidRPr="00625F58" w:rsidRDefault="00C85364" w:rsidP="00C85364">
      <w:pPr>
        <w:jc w:val="both"/>
        <w:rPr>
          <w:rFonts w:cs="Times New Roman"/>
        </w:rPr>
      </w:pPr>
    </w:p>
    <w:p w14:paraId="18E7FCFB" w14:textId="77777777" w:rsidR="009B765C" w:rsidRPr="00625F58" w:rsidRDefault="00D827FC" w:rsidP="00C85364">
      <w:pPr>
        <w:jc w:val="both"/>
        <w:rPr>
          <w:rFonts w:cs="Times New Roman"/>
        </w:rPr>
      </w:pPr>
      <w:r w:rsidRPr="00625F58">
        <w:rPr>
          <w:rFonts w:cs="Times New Roman"/>
        </w:rPr>
        <w:t xml:space="preserve">We thank Geoff Eyre for permission to work on his estate and </w:t>
      </w:r>
      <w:r w:rsidR="006A40BB" w:rsidRPr="00625F58">
        <w:rPr>
          <w:rFonts w:cs="Times New Roman"/>
        </w:rPr>
        <w:t>access to his estate management maps</w:t>
      </w:r>
      <w:r w:rsidR="004C52AE" w:rsidRPr="00625F58">
        <w:rPr>
          <w:rFonts w:cs="Times New Roman"/>
        </w:rPr>
        <w:t xml:space="preserve">, </w:t>
      </w:r>
      <w:r w:rsidR="003C2EDA" w:rsidRPr="00625F58">
        <w:rPr>
          <w:rFonts w:cs="Times New Roman"/>
        </w:rPr>
        <w:t>Matt O’Connor for his work during a Nuffield Research Placement</w:t>
      </w:r>
      <w:r w:rsidR="004C52AE" w:rsidRPr="00625F58">
        <w:rPr>
          <w:rFonts w:cs="Times New Roman"/>
        </w:rPr>
        <w:t xml:space="preserve"> and the Heather Trust for financial support</w:t>
      </w:r>
      <w:r w:rsidR="003C2EDA" w:rsidRPr="00625F58">
        <w:rPr>
          <w:rFonts w:cs="Times New Roman"/>
        </w:rPr>
        <w:t>.</w:t>
      </w:r>
    </w:p>
    <w:p w14:paraId="16E0F829" w14:textId="77777777" w:rsidR="00C85364" w:rsidRPr="00625F58" w:rsidRDefault="00C85364" w:rsidP="00C85364">
      <w:pPr>
        <w:jc w:val="both"/>
        <w:rPr>
          <w:rFonts w:cs="Times New Roman"/>
          <w:b/>
        </w:rPr>
      </w:pPr>
    </w:p>
    <w:p w14:paraId="4F9D019A" w14:textId="77777777" w:rsidR="009062C2" w:rsidRPr="00625F58" w:rsidRDefault="009062C2" w:rsidP="00C85364">
      <w:pPr>
        <w:jc w:val="both"/>
        <w:rPr>
          <w:rFonts w:cs="Times New Roman"/>
          <w:b/>
        </w:rPr>
      </w:pPr>
      <w:r w:rsidRPr="00625F58">
        <w:rPr>
          <w:rFonts w:cs="Times New Roman"/>
          <w:b/>
        </w:rPr>
        <w:t>References</w:t>
      </w:r>
    </w:p>
    <w:p w14:paraId="55536070" w14:textId="77777777" w:rsidR="00500960" w:rsidRPr="00625F58" w:rsidRDefault="00C85364" w:rsidP="00625F58">
      <w:pPr>
        <w:tabs>
          <w:tab w:val="left" w:pos="284"/>
          <w:tab w:val="left" w:pos="3095"/>
        </w:tabs>
        <w:ind w:left="284" w:hanging="284"/>
        <w:rPr>
          <w:rFonts w:ascii="Calibri" w:hAnsi="Calibri" w:cs="Times New Roman"/>
        </w:rPr>
      </w:pPr>
      <w:bookmarkStart w:id="1" w:name="_ENREF_15"/>
      <w:proofErr w:type="gramStart"/>
      <w:r w:rsidRPr="00625F58">
        <w:rPr>
          <w:rFonts w:ascii="Calibri" w:hAnsi="Calibri" w:cs="Times New Roman"/>
        </w:rPr>
        <w:t xml:space="preserve">Anon., </w:t>
      </w:r>
      <w:r w:rsidR="00500960" w:rsidRPr="00625F58">
        <w:rPr>
          <w:rFonts w:ascii="Calibri" w:hAnsi="Calibri" w:cs="Times New Roman"/>
        </w:rPr>
        <w:t>2002.</w:t>
      </w:r>
      <w:proofErr w:type="gramEnd"/>
      <w:r w:rsidR="00500960" w:rsidRPr="00625F58">
        <w:rPr>
          <w:rFonts w:ascii="Calibri" w:hAnsi="Calibri" w:cs="Times New Roman"/>
        </w:rPr>
        <w:t xml:space="preserve"> Environmentally Sensitive Areas Scheme Prescriptions: North Peak ESA. </w:t>
      </w:r>
      <w:hyperlink r:id="rId9" w:history="1">
        <w:r w:rsidR="00500960" w:rsidRPr="00625F58">
          <w:rPr>
            <w:rStyle w:val="Hyperlink"/>
            <w:rFonts w:ascii="Calibri" w:hAnsi="Calibri" w:cs="Times New Roman"/>
            <w:color w:val="auto"/>
          </w:rPr>
          <w:t xml:space="preserve">http://collections.europarchive.org/tna/20081027092120/http://www.defra.gov.uk/cor </w:t>
        </w:r>
        <w:proofErr w:type="spellStart"/>
        <w:r w:rsidR="00500960" w:rsidRPr="00625F58">
          <w:rPr>
            <w:rStyle w:val="Hyperlink"/>
            <w:rFonts w:ascii="Calibri" w:hAnsi="Calibri" w:cs="Times New Roman"/>
            <w:color w:val="auto"/>
          </w:rPr>
          <w:t>porate</w:t>
        </w:r>
        <w:proofErr w:type="spellEnd"/>
        <w:r w:rsidR="00500960" w:rsidRPr="00625F58">
          <w:rPr>
            <w:rStyle w:val="Hyperlink"/>
            <w:rFonts w:ascii="Calibri" w:hAnsi="Calibri" w:cs="Times New Roman"/>
            <w:color w:val="auto"/>
          </w:rPr>
          <w:t>/</w:t>
        </w:r>
        <w:proofErr w:type="spellStart"/>
        <w:r w:rsidR="00500960" w:rsidRPr="00625F58">
          <w:rPr>
            <w:rStyle w:val="Hyperlink"/>
            <w:rFonts w:ascii="Calibri" w:hAnsi="Calibri" w:cs="Times New Roman"/>
            <w:color w:val="auto"/>
          </w:rPr>
          <w:t>regulat</w:t>
        </w:r>
        <w:proofErr w:type="spellEnd"/>
        <w:r w:rsidR="00500960" w:rsidRPr="00625F58">
          <w:rPr>
            <w:rStyle w:val="Hyperlink"/>
            <w:rFonts w:ascii="Calibri" w:hAnsi="Calibri" w:cs="Times New Roman"/>
            <w:color w:val="auto"/>
          </w:rPr>
          <w:t>/forms/</w:t>
        </w:r>
        <w:proofErr w:type="spellStart"/>
        <w:r w:rsidR="00500960" w:rsidRPr="00625F58">
          <w:rPr>
            <w:rStyle w:val="Hyperlink"/>
            <w:rFonts w:ascii="Calibri" w:hAnsi="Calibri" w:cs="Times New Roman"/>
            <w:color w:val="auto"/>
          </w:rPr>
          <w:t>erdp</w:t>
        </w:r>
        <w:proofErr w:type="spellEnd"/>
        <w:r w:rsidR="00500960" w:rsidRPr="00625F58">
          <w:rPr>
            <w:rStyle w:val="Hyperlink"/>
            <w:rFonts w:ascii="Calibri" w:hAnsi="Calibri" w:cs="Times New Roman"/>
            <w:color w:val="auto"/>
          </w:rPr>
          <w:t>/</w:t>
        </w:r>
        <w:proofErr w:type="spellStart"/>
        <w:r w:rsidR="00500960" w:rsidRPr="00625F58">
          <w:rPr>
            <w:rStyle w:val="Hyperlink"/>
            <w:rFonts w:ascii="Calibri" w:hAnsi="Calibri" w:cs="Times New Roman"/>
            <w:color w:val="auto"/>
          </w:rPr>
          <w:t>esa</w:t>
        </w:r>
        <w:proofErr w:type="spellEnd"/>
        <w:r w:rsidR="00500960" w:rsidRPr="00625F58">
          <w:rPr>
            <w:rStyle w:val="Hyperlink"/>
            <w:rFonts w:ascii="Calibri" w:hAnsi="Calibri" w:cs="Times New Roman"/>
            <w:color w:val="auto"/>
          </w:rPr>
          <w:t>/npesasp.pdf</w:t>
        </w:r>
      </w:hyperlink>
      <w:r w:rsidR="00500960" w:rsidRPr="00625F58">
        <w:rPr>
          <w:rFonts w:ascii="Calibri" w:hAnsi="Calibri" w:cs="Times New Roman"/>
        </w:rPr>
        <w:t>. [</w:t>
      </w:r>
      <w:proofErr w:type="gramStart"/>
      <w:r w:rsidR="00500960" w:rsidRPr="00625F58">
        <w:rPr>
          <w:rFonts w:ascii="Calibri" w:hAnsi="Calibri" w:cs="Times New Roman"/>
        </w:rPr>
        <w:t>accessed</w:t>
      </w:r>
      <w:proofErr w:type="gramEnd"/>
      <w:r w:rsidR="00500960" w:rsidRPr="00625F58">
        <w:rPr>
          <w:rFonts w:ascii="Calibri" w:hAnsi="Calibri" w:cs="Times New Roman"/>
        </w:rPr>
        <w:t xml:space="preserve"> 1/3/2014].</w:t>
      </w:r>
    </w:p>
    <w:p w14:paraId="7AA78D50" w14:textId="77777777" w:rsidR="00500960" w:rsidRPr="00625F58" w:rsidRDefault="00500960" w:rsidP="00C85364">
      <w:pPr>
        <w:tabs>
          <w:tab w:val="left" w:pos="284"/>
          <w:tab w:val="left" w:pos="3095"/>
        </w:tabs>
        <w:ind w:left="284" w:hanging="284"/>
        <w:jc w:val="both"/>
        <w:rPr>
          <w:rFonts w:ascii="Calibri" w:hAnsi="Calibri" w:cs="Times New Roman"/>
        </w:rPr>
      </w:pPr>
      <w:r w:rsidRPr="00625F58">
        <w:rPr>
          <w:rFonts w:ascii="Calibri" w:hAnsi="Calibri" w:cs="Times New Roman"/>
        </w:rPr>
        <w:t>Anon., 2014</w:t>
      </w:r>
      <w:proofErr w:type="gramStart"/>
      <w:r w:rsidRPr="00625F58">
        <w:rPr>
          <w:rFonts w:ascii="Calibri" w:hAnsi="Calibri" w:cs="Times New Roman"/>
        </w:rPr>
        <w:t>.,</w:t>
      </w:r>
      <w:proofErr w:type="gramEnd"/>
      <w:r w:rsidRPr="00625F58">
        <w:rPr>
          <w:rFonts w:ascii="Calibri" w:hAnsi="Calibri" w:cs="Times New Roman"/>
        </w:rPr>
        <w:t xml:space="preserve"> Higher Level Stewardship. </w:t>
      </w:r>
    </w:p>
    <w:p w14:paraId="08E53418" w14:textId="77777777" w:rsidR="00500960" w:rsidRPr="00625F58" w:rsidRDefault="00500960" w:rsidP="00C85364">
      <w:pPr>
        <w:tabs>
          <w:tab w:val="left" w:pos="284"/>
          <w:tab w:val="left" w:pos="3095"/>
        </w:tabs>
        <w:ind w:left="284" w:hanging="284"/>
        <w:jc w:val="both"/>
        <w:rPr>
          <w:rFonts w:ascii="Calibri" w:hAnsi="Calibri" w:cs="Times New Roman"/>
        </w:rPr>
      </w:pPr>
      <w:r w:rsidRPr="00625F58">
        <w:rPr>
          <w:rFonts w:ascii="Calibri" w:hAnsi="Calibri" w:cs="Times New Roman"/>
        </w:rPr>
        <w:tab/>
      </w:r>
      <w:hyperlink r:id="rId10" w:history="1">
        <w:r w:rsidRPr="00625F58">
          <w:rPr>
            <w:rStyle w:val="Hyperlink"/>
            <w:rFonts w:ascii="Calibri" w:hAnsi="Calibri" w:cs="Times New Roman"/>
            <w:color w:val="auto"/>
          </w:rPr>
          <w:t>http://www.naturalengland.org.uk/ourwork/farming/funding/es/hls/default.aspx</w:t>
        </w:r>
      </w:hyperlink>
      <w:r w:rsidRPr="00625F58">
        <w:rPr>
          <w:rFonts w:ascii="Calibri" w:hAnsi="Calibri" w:cs="Times New Roman"/>
        </w:rPr>
        <w:t>.</w:t>
      </w:r>
    </w:p>
    <w:p w14:paraId="5C0C4446" w14:textId="77777777" w:rsidR="00500960" w:rsidRPr="00625F58" w:rsidRDefault="00500960" w:rsidP="00C85364">
      <w:pPr>
        <w:tabs>
          <w:tab w:val="left" w:pos="284"/>
          <w:tab w:val="left" w:pos="3095"/>
        </w:tabs>
        <w:ind w:left="284" w:hanging="284"/>
        <w:jc w:val="both"/>
        <w:rPr>
          <w:rFonts w:ascii="Calibri" w:hAnsi="Calibri" w:cs="Times New Roman"/>
        </w:rPr>
      </w:pPr>
      <w:r w:rsidRPr="00625F58">
        <w:rPr>
          <w:rFonts w:ascii="Calibri" w:hAnsi="Calibri" w:cs="Times New Roman"/>
        </w:rPr>
        <w:tab/>
        <w:t>[</w:t>
      </w:r>
      <w:proofErr w:type="gramStart"/>
      <w:r w:rsidRPr="00625F58">
        <w:rPr>
          <w:rFonts w:ascii="Calibri" w:hAnsi="Calibri" w:cs="Times New Roman"/>
        </w:rPr>
        <w:t>accessed</w:t>
      </w:r>
      <w:proofErr w:type="gramEnd"/>
      <w:r w:rsidRPr="00625F58">
        <w:rPr>
          <w:rFonts w:ascii="Calibri" w:hAnsi="Calibri" w:cs="Times New Roman"/>
        </w:rPr>
        <w:t xml:space="preserve"> 1/3/2014].</w:t>
      </w:r>
    </w:p>
    <w:p w14:paraId="5DA41D2D" w14:textId="77777777" w:rsidR="00500960" w:rsidRPr="00625F58" w:rsidRDefault="00500960" w:rsidP="00C85364">
      <w:pPr>
        <w:ind w:left="284" w:hanging="284"/>
        <w:rPr>
          <w:rFonts w:ascii="Calibri" w:eastAsia="Times New Roman" w:hAnsi="Calibri" w:cs="Times New Roman"/>
          <w:spacing w:val="10"/>
        </w:rPr>
      </w:pPr>
      <w:r w:rsidRPr="00625F58">
        <w:rPr>
          <w:rFonts w:ascii="Calibri" w:eastAsia="Times New Roman" w:hAnsi="Calibri" w:cs="Times New Roman"/>
          <w:spacing w:val="10"/>
        </w:rPr>
        <w:t xml:space="preserve">Bain, C.G., Bonn, A., </w:t>
      </w:r>
      <w:proofErr w:type="spellStart"/>
      <w:r w:rsidRPr="00625F58">
        <w:rPr>
          <w:rFonts w:ascii="Calibri" w:eastAsia="Times New Roman" w:hAnsi="Calibri" w:cs="Times New Roman"/>
          <w:spacing w:val="10"/>
        </w:rPr>
        <w:t>Stoneman</w:t>
      </w:r>
      <w:proofErr w:type="spellEnd"/>
      <w:r w:rsidRPr="00625F58">
        <w:rPr>
          <w:rFonts w:ascii="Calibri" w:eastAsia="Times New Roman" w:hAnsi="Calibri" w:cs="Times New Roman"/>
          <w:spacing w:val="10"/>
        </w:rPr>
        <w:t xml:space="preserve">, R., Chapman, S., </w:t>
      </w:r>
      <w:proofErr w:type="spellStart"/>
      <w:r w:rsidRPr="00625F58">
        <w:rPr>
          <w:rFonts w:ascii="Calibri" w:eastAsia="Times New Roman" w:hAnsi="Calibri" w:cs="Times New Roman"/>
          <w:spacing w:val="10"/>
        </w:rPr>
        <w:t>Coupar</w:t>
      </w:r>
      <w:proofErr w:type="spellEnd"/>
      <w:r w:rsidRPr="00625F58">
        <w:rPr>
          <w:rFonts w:ascii="Calibri" w:eastAsia="Times New Roman" w:hAnsi="Calibri" w:cs="Times New Roman"/>
          <w:spacing w:val="10"/>
        </w:rPr>
        <w:t xml:space="preserve">, A., Evans, M., </w:t>
      </w:r>
      <w:proofErr w:type="spellStart"/>
      <w:r w:rsidRPr="00625F58">
        <w:rPr>
          <w:rFonts w:ascii="Calibri" w:eastAsia="Times New Roman" w:hAnsi="Calibri" w:cs="Times New Roman"/>
          <w:spacing w:val="10"/>
        </w:rPr>
        <w:t>Gearey</w:t>
      </w:r>
      <w:proofErr w:type="spellEnd"/>
      <w:r w:rsidRPr="00625F58">
        <w:rPr>
          <w:rFonts w:ascii="Calibri" w:eastAsia="Times New Roman" w:hAnsi="Calibri" w:cs="Times New Roman"/>
          <w:spacing w:val="10"/>
        </w:rPr>
        <w:t xml:space="preserve">, B., </w:t>
      </w:r>
      <w:proofErr w:type="spellStart"/>
      <w:r w:rsidRPr="00625F58">
        <w:rPr>
          <w:rFonts w:ascii="Calibri" w:eastAsia="Times New Roman" w:hAnsi="Calibri" w:cs="Times New Roman"/>
          <w:spacing w:val="10"/>
        </w:rPr>
        <w:t>Howat</w:t>
      </w:r>
      <w:proofErr w:type="spellEnd"/>
      <w:r w:rsidRPr="00625F58">
        <w:rPr>
          <w:rFonts w:ascii="Calibri" w:eastAsia="Times New Roman" w:hAnsi="Calibri" w:cs="Times New Roman"/>
          <w:spacing w:val="10"/>
        </w:rPr>
        <w:t xml:space="preserve">, M., </w:t>
      </w:r>
      <w:proofErr w:type="spellStart"/>
      <w:r w:rsidRPr="00625F58">
        <w:rPr>
          <w:rFonts w:ascii="Calibri" w:eastAsia="Times New Roman" w:hAnsi="Calibri" w:cs="Times New Roman"/>
          <w:spacing w:val="10"/>
        </w:rPr>
        <w:t>Joosten</w:t>
      </w:r>
      <w:proofErr w:type="spellEnd"/>
      <w:r w:rsidRPr="00625F58">
        <w:rPr>
          <w:rFonts w:ascii="Calibri" w:eastAsia="Times New Roman" w:hAnsi="Calibri" w:cs="Times New Roman"/>
          <w:spacing w:val="10"/>
        </w:rPr>
        <w:t xml:space="preserve">, H., </w:t>
      </w:r>
      <w:proofErr w:type="spellStart"/>
      <w:r w:rsidRPr="00625F58">
        <w:rPr>
          <w:rFonts w:ascii="Calibri" w:eastAsia="Times New Roman" w:hAnsi="Calibri" w:cs="Times New Roman"/>
          <w:spacing w:val="10"/>
        </w:rPr>
        <w:t>Keenleyside</w:t>
      </w:r>
      <w:proofErr w:type="spellEnd"/>
      <w:r w:rsidRPr="00625F58">
        <w:rPr>
          <w:rFonts w:ascii="Calibri" w:eastAsia="Times New Roman" w:hAnsi="Calibri" w:cs="Times New Roman"/>
          <w:spacing w:val="10"/>
        </w:rPr>
        <w:t xml:space="preserve">, C., </w:t>
      </w:r>
      <w:proofErr w:type="spellStart"/>
      <w:r w:rsidRPr="00625F58">
        <w:rPr>
          <w:rFonts w:ascii="Calibri" w:eastAsia="Times New Roman" w:hAnsi="Calibri" w:cs="Times New Roman"/>
          <w:spacing w:val="10"/>
        </w:rPr>
        <w:t>Labadz</w:t>
      </w:r>
      <w:proofErr w:type="spellEnd"/>
      <w:r w:rsidRPr="00625F58">
        <w:rPr>
          <w:rFonts w:ascii="Calibri" w:eastAsia="Times New Roman" w:hAnsi="Calibri" w:cs="Times New Roman"/>
          <w:spacing w:val="10"/>
        </w:rPr>
        <w:t xml:space="preserve">, J., Lindsay, R., </w:t>
      </w:r>
      <w:proofErr w:type="spellStart"/>
      <w:r w:rsidRPr="00625F58">
        <w:rPr>
          <w:rFonts w:ascii="Calibri" w:eastAsia="Times New Roman" w:hAnsi="Calibri" w:cs="Times New Roman"/>
          <w:spacing w:val="10"/>
        </w:rPr>
        <w:t>Littlewood</w:t>
      </w:r>
      <w:proofErr w:type="spellEnd"/>
      <w:r w:rsidRPr="00625F58">
        <w:rPr>
          <w:rFonts w:ascii="Calibri" w:eastAsia="Times New Roman" w:hAnsi="Calibri" w:cs="Times New Roman"/>
          <w:spacing w:val="10"/>
        </w:rPr>
        <w:t xml:space="preserve">, N., Lunt, P., Miller, C.J., </w:t>
      </w:r>
      <w:proofErr w:type="spellStart"/>
      <w:r w:rsidRPr="00625F58">
        <w:rPr>
          <w:rFonts w:ascii="Calibri" w:eastAsia="Times New Roman" w:hAnsi="Calibri" w:cs="Times New Roman"/>
          <w:spacing w:val="10"/>
        </w:rPr>
        <w:t>Moxey</w:t>
      </w:r>
      <w:proofErr w:type="spellEnd"/>
      <w:r w:rsidRPr="00625F58">
        <w:rPr>
          <w:rFonts w:ascii="Calibri" w:eastAsia="Times New Roman" w:hAnsi="Calibri" w:cs="Times New Roman"/>
          <w:spacing w:val="10"/>
        </w:rPr>
        <w:t xml:space="preserve">, A., Orr, H., Reed, M., Smith, P., Swales, V., Thompson, D.B.A., Thompson, P.S., Van de </w:t>
      </w:r>
      <w:proofErr w:type="spellStart"/>
      <w:r w:rsidRPr="00625F58">
        <w:rPr>
          <w:rFonts w:ascii="Calibri" w:eastAsia="Times New Roman" w:hAnsi="Calibri" w:cs="Times New Roman"/>
          <w:spacing w:val="10"/>
        </w:rPr>
        <w:t>Noort</w:t>
      </w:r>
      <w:proofErr w:type="spellEnd"/>
      <w:r w:rsidRPr="00625F58">
        <w:rPr>
          <w:rFonts w:ascii="Calibri" w:eastAsia="Times New Roman" w:hAnsi="Calibri" w:cs="Times New Roman"/>
          <w:spacing w:val="10"/>
        </w:rPr>
        <w:t xml:space="preserve">, R., Wilson, J.D., Worrall, F., 2011. </w:t>
      </w:r>
      <w:proofErr w:type="gramStart"/>
      <w:r w:rsidRPr="00625F58">
        <w:rPr>
          <w:rFonts w:ascii="Calibri" w:eastAsia="Times New Roman" w:hAnsi="Calibri" w:cs="Times New Roman"/>
          <w:spacing w:val="10"/>
        </w:rPr>
        <w:t>IUCN, UK Commission of Inquiry on Peatlands.</w:t>
      </w:r>
      <w:proofErr w:type="gramEnd"/>
      <w:r w:rsidRPr="00625F58">
        <w:rPr>
          <w:rFonts w:ascii="Calibri" w:eastAsia="Times New Roman" w:hAnsi="Calibri" w:cs="Times New Roman"/>
          <w:spacing w:val="10"/>
        </w:rPr>
        <w:t xml:space="preserve"> IUCN UK Peatland Programme, Edinburgh.</w:t>
      </w:r>
    </w:p>
    <w:p w14:paraId="7C0028D3" w14:textId="77777777" w:rsidR="00500960" w:rsidRPr="00625F58" w:rsidRDefault="00500960" w:rsidP="00C85364">
      <w:pPr>
        <w:tabs>
          <w:tab w:val="left" w:pos="284"/>
          <w:tab w:val="left" w:pos="3095"/>
        </w:tabs>
        <w:ind w:left="284" w:hanging="284"/>
        <w:jc w:val="both"/>
        <w:rPr>
          <w:rFonts w:ascii="Calibri" w:hAnsi="Calibri" w:cs="Times New Roman"/>
        </w:rPr>
      </w:pPr>
      <w:bookmarkStart w:id="2" w:name="_ENREF_20"/>
      <w:bookmarkEnd w:id="1"/>
      <w:r w:rsidRPr="00625F58">
        <w:rPr>
          <w:rFonts w:ascii="Calibri" w:hAnsi="Calibri" w:cs="Times New Roman"/>
        </w:rPr>
        <w:t xml:space="preserve">Hester, A.J., </w:t>
      </w:r>
      <w:proofErr w:type="spellStart"/>
      <w:r w:rsidRPr="00625F58">
        <w:rPr>
          <w:rFonts w:ascii="Calibri" w:hAnsi="Calibri" w:cs="Times New Roman"/>
        </w:rPr>
        <w:t>Sydes</w:t>
      </w:r>
      <w:proofErr w:type="spellEnd"/>
      <w:r w:rsidRPr="00625F58">
        <w:rPr>
          <w:rFonts w:ascii="Calibri" w:hAnsi="Calibri" w:cs="Times New Roman"/>
        </w:rPr>
        <w:t xml:space="preserve">, C., 1992. </w:t>
      </w:r>
      <w:proofErr w:type="gramStart"/>
      <w:r w:rsidRPr="00625F58">
        <w:rPr>
          <w:rFonts w:ascii="Calibri" w:hAnsi="Calibri" w:cs="Times New Roman"/>
        </w:rPr>
        <w:t>Changes in burning of Scottish heather moorland since the 1940s from aerial photographs.</w:t>
      </w:r>
      <w:proofErr w:type="gramEnd"/>
      <w:r w:rsidRPr="00625F58">
        <w:rPr>
          <w:rFonts w:ascii="Calibri" w:hAnsi="Calibri" w:cs="Times New Roman"/>
        </w:rPr>
        <w:t xml:space="preserve"> Biol. </w:t>
      </w:r>
      <w:proofErr w:type="spellStart"/>
      <w:r w:rsidRPr="00625F58">
        <w:rPr>
          <w:rFonts w:ascii="Calibri" w:hAnsi="Calibri" w:cs="Times New Roman"/>
        </w:rPr>
        <w:t>Conserv</w:t>
      </w:r>
      <w:proofErr w:type="spellEnd"/>
      <w:r w:rsidRPr="00625F58">
        <w:rPr>
          <w:rFonts w:ascii="Calibri" w:hAnsi="Calibri" w:cs="Times New Roman"/>
        </w:rPr>
        <w:t>. 60, 25-30</w:t>
      </w:r>
    </w:p>
    <w:bookmarkEnd w:id="2"/>
    <w:p w14:paraId="2D2B32EB" w14:textId="77777777" w:rsidR="00500960" w:rsidRPr="00625F58" w:rsidRDefault="00500960" w:rsidP="00C85364">
      <w:pPr>
        <w:tabs>
          <w:tab w:val="left" w:pos="284"/>
        </w:tabs>
        <w:ind w:left="284" w:hanging="284"/>
        <w:rPr>
          <w:rFonts w:ascii="Calibri" w:hAnsi="Calibri" w:cs="Times New Roman"/>
        </w:rPr>
      </w:pPr>
      <w:proofErr w:type="gramStart"/>
      <w:r w:rsidRPr="00625F58">
        <w:rPr>
          <w:rFonts w:ascii="Calibri" w:hAnsi="Calibri" w:cs="Times New Roman"/>
        </w:rPr>
        <w:t>Muirburn Working Party, 1997.</w:t>
      </w:r>
      <w:proofErr w:type="gramEnd"/>
      <w:r w:rsidRPr="00625F58">
        <w:rPr>
          <w:rFonts w:ascii="Calibri" w:hAnsi="Calibri" w:cs="Times New Roman"/>
        </w:rPr>
        <w:t xml:space="preserve"> </w:t>
      </w:r>
      <w:proofErr w:type="gramStart"/>
      <w:r w:rsidRPr="00625F58">
        <w:rPr>
          <w:rFonts w:ascii="Calibri" w:hAnsi="Calibri" w:cs="Times New Roman"/>
        </w:rPr>
        <w:t>A guide to good muirburn practice</w:t>
      </w:r>
      <w:r w:rsidR="00625F58" w:rsidRPr="00625F58">
        <w:rPr>
          <w:rFonts w:ascii="Calibri" w:hAnsi="Calibri" w:cs="Times New Roman"/>
        </w:rPr>
        <w:t>.</w:t>
      </w:r>
      <w:proofErr w:type="gramEnd"/>
      <w:r w:rsidRPr="00625F58">
        <w:rPr>
          <w:rFonts w:ascii="Calibri" w:hAnsi="Calibri" w:cs="Times New Roman"/>
        </w:rPr>
        <w:t xml:space="preserve"> HMSO, Edinburgh.</w:t>
      </w:r>
    </w:p>
    <w:p w14:paraId="6D4D3C68" w14:textId="77777777" w:rsidR="003A3720" w:rsidRPr="00625F58" w:rsidRDefault="00500960" w:rsidP="00C85364">
      <w:pPr>
        <w:tabs>
          <w:tab w:val="left" w:pos="284"/>
          <w:tab w:val="left" w:pos="3095"/>
        </w:tabs>
        <w:ind w:left="284" w:hanging="284"/>
        <w:jc w:val="both"/>
        <w:rPr>
          <w:rFonts w:ascii="Calibri" w:hAnsi="Calibri" w:cs="Times New Roman"/>
          <w:noProof/>
        </w:rPr>
      </w:pPr>
      <w:r w:rsidRPr="00625F58">
        <w:rPr>
          <w:rFonts w:ascii="Calibri" w:hAnsi="Calibri" w:cs="Times New Roman"/>
          <w:noProof/>
        </w:rPr>
        <w:t xml:space="preserve">Yallop, A.R., Thacker, J.I., Thomas, G., Stephens, M., Clutterbuck, B., Brewer, T., Sannier, C.A.D., 2006. The extent and intensity of management burning in the English uplands. </w:t>
      </w:r>
      <w:r w:rsidRPr="00625F58">
        <w:rPr>
          <w:rFonts w:ascii="Calibri" w:hAnsi="Calibri" w:cs="Times New Roman"/>
          <w:i/>
          <w:noProof/>
        </w:rPr>
        <w:t xml:space="preserve">J. Appld Ecol. </w:t>
      </w:r>
      <w:r w:rsidRPr="00625F58">
        <w:rPr>
          <w:rFonts w:ascii="Calibri" w:hAnsi="Calibri" w:cs="Times New Roman"/>
          <w:noProof/>
        </w:rPr>
        <w:t>43, 1138-1148.</w:t>
      </w:r>
    </w:p>
    <w:p w14:paraId="47135638" w14:textId="77777777" w:rsidR="003A3720" w:rsidRPr="00625F58" w:rsidRDefault="003A3720">
      <w:pPr>
        <w:rPr>
          <w:rFonts w:cs="Times New Roman"/>
          <w:noProof/>
        </w:rPr>
      </w:pPr>
      <w:r w:rsidRPr="00625F58">
        <w:rPr>
          <w:rFonts w:cs="Times New Roman"/>
          <w:noProof/>
        </w:rPr>
        <w:br w:type="page"/>
      </w:r>
    </w:p>
    <w:p w14:paraId="4BDF86AC" w14:textId="77777777" w:rsidR="003A3720" w:rsidRPr="00625F58" w:rsidRDefault="003A3720" w:rsidP="003A3720">
      <w:pPr>
        <w:rPr>
          <w:rFonts w:ascii="Times New Roman" w:hAnsi="Times New Roman" w:cs="Times New Roman"/>
          <w:b/>
          <w:sz w:val="20"/>
          <w:szCs w:val="20"/>
        </w:rPr>
      </w:pPr>
      <w:r w:rsidRPr="00625F58">
        <w:rPr>
          <w:rFonts w:ascii="Times New Roman" w:hAnsi="Times New Roman" w:cs="Times New Roman"/>
          <w:b/>
          <w:sz w:val="20"/>
          <w:szCs w:val="20"/>
        </w:rPr>
        <w:lastRenderedPageBreak/>
        <w:t xml:space="preserve">Table 1. </w:t>
      </w:r>
      <w:r w:rsidRPr="00625F58">
        <w:rPr>
          <w:rFonts w:ascii="Times New Roman" w:hAnsi="Times New Roman" w:cs="Times New Roman"/>
          <w:sz w:val="20"/>
          <w:szCs w:val="20"/>
        </w:rPr>
        <w:t xml:space="preserve">Number and area of the burn scars produced by prescribed burning on Howden Moor, Derbyshire in six time periods between 1988 and 2009 (a) descriptive data, (b) as a percentage of the moorland area and percentage of the moorland area per year. The potentially burnable area is the total moor area minus areas where burning is restricted or not desired. The area measurements do not account for areas burned more than once in different time periods hence underestimate burning activity. The areas of </w:t>
      </w:r>
      <w:r w:rsidRPr="00625F58">
        <w:rPr>
          <w:rFonts w:ascii="Times New Roman" w:hAnsi="Times New Roman" w:cs="Times New Roman"/>
          <w:i/>
          <w:sz w:val="20"/>
          <w:szCs w:val="20"/>
        </w:rPr>
        <w:t>Molinia</w:t>
      </w:r>
      <w:r w:rsidRPr="00625F58">
        <w:rPr>
          <w:rFonts w:ascii="Times New Roman" w:hAnsi="Times New Roman" w:cs="Times New Roman"/>
          <w:sz w:val="20"/>
          <w:szCs w:val="20"/>
        </w:rPr>
        <w:t xml:space="preserve"> </w:t>
      </w:r>
      <w:r w:rsidRPr="00625F58">
        <w:rPr>
          <w:rFonts w:ascii="Times New Roman" w:hAnsi="Times New Roman" w:cs="Times New Roman"/>
          <w:i/>
          <w:sz w:val="20"/>
          <w:szCs w:val="20"/>
        </w:rPr>
        <w:t>caerulea</w:t>
      </w:r>
      <w:r w:rsidRPr="00625F58">
        <w:rPr>
          <w:rFonts w:ascii="Times New Roman" w:hAnsi="Times New Roman" w:cs="Times New Roman"/>
          <w:sz w:val="20"/>
          <w:szCs w:val="20"/>
        </w:rPr>
        <w:t xml:space="preserve">-dominated land that were burned within a designed restoration program outside normal moorland management are included in the totals but have also been identified separately. The percentage has been calculated on both a whole moor and “potentially-burnable” area basis; percentages in parentheses have been re-calculated to exclude the </w:t>
      </w:r>
      <w:r w:rsidRPr="00625F58">
        <w:rPr>
          <w:rFonts w:ascii="Times New Roman" w:hAnsi="Times New Roman" w:cs="Times New Roman"/>
          <w:i/>
          <w:sz w:val="20"/>
          <w:szCs w:val="20"/>
        </w:rPr>
        <w:t xml:space="preserve">M. caerulea </w:t>
      </w:r>
      <w:r w:rsidRPr="00625F58">
        <w:rPr>
          <w:rFonts w:ascii="Times New Roman" w:hAnsi="Times New Roman" w:cs="Times New Roman"/>
          <w:sz w:val="20"/>
          <w:szCs w:val="20"/>
        </w:rPr>
        <w:t xml:space="preserve">restoration burning. </w:t>
      </w:r>
    </w:p>
    <w:p w14:paraId="593E56A4" w14:textId="77777777" w:rsidR="003A3720" w:rsidRPr="00625F58" w:rsidRDefault="003A3720" w:rsidP="003A3720">
      <w:pPr>
        <w:jc w:val="both"/>
      </w:pPr>
    </w:p>
    <w:p w14:paraId="478EA978" w14:textId="77777777" w:rsidR="003A3720" w:rsidRPr="00625F58" w:rsidRDefault="003A3720" w:rsidP="003A3720">
      <w:pPr>
        <w:jc w:val="both"/>
      </w:pPr>
      <w:r w:rsidRPr="00625F58">
        <w:rPr>
          <w:rFonts w:ascii="Times New Roman" w:hAnsi="Times New Roman" w:cs="Times New Roman"/>
          <w:sz w:val="20"/>
          <w:szCs w:val="20"/>
        </w:rPr>
        <w:t>(</w:t>
      </w:r>
      <w:proofErr w:type="gramStart"/>
      <w:r w:rsidRPr="00625F58">
        <w:rPr>
          <w:rFonts w:ascii="Times New Roman" w:hAnsi="Times New Roman" w:cs="Times New Roman"/>
          <w:sz w:val="20"/>
          <w:szCs w:val="20"/>
        </w:rPr>
        <w:t>a</w:t>
      </w:r>
      <w:proofErr w:type="gramEnd"/>
      <w:r w:rsidRPr="00625F58">
        <w:rPr>
          <w:rFonts w:ascii="Times New Roman" w:hAnsi="Times New Roman" w:cs="Times New Roman"/>
          <w:sz w:val="20"/>
          <w:szCs w:val="20"/>
        </w:rPr>
        <w:t>)</w:t>
      </w:r>
    </w:p>
    <w:tbl>
      <w:tblPr>
        <w:tblW w:w="10842" w:type="dxa"/>
        <w:tblInd w:w="-426" w:type="dxa"/>
        <w:tblBorders>
          <w:top w:val="single" w:sz="4" w:space="0" w:color="00000A"/>
        </w:tblBorders>
        <w:tblCellMar>
          <w:left w:w="10" w:type="dxa"/>
          <w:right w:w="10" w:type="dxa"/>
        </w:tblCellMar>
        <w:tblLook w:val="0000" w:firstRow="0" w:lastRow="0" w:firstColumn="0" w:lastColumn="0" w:noHBand="0" w:noVBand="0"/>
      </w:tblPr>
      <w:tblGrid>
        <w:gridCol w:w="1022"/>
        <w:gridCol w:w="1213"/>
        <w:gridCol w:w="981"/>
        <w:gridCol w:w="1088"/>
        <w:gridCol w:w="883"/>
        <w:gridCol w:w="1118"/>
        <w:gridCol w:w="1070"/>
        <w:gridCol w:w="1119"/>
        <w:gridCol w:w="1081"/>
        <w:gridCol w:w="1267"/>
      </w:tblGrid>
      <w:tr w:rsidR="003A3720" w:rsidRPr="00625F58" w14:paraId="35AA6F7F" w14:textId="77777777" w:rsidTr="006F76F9">
        <w:tc>
          <w:tcPr>
            <w:tcW w:w="1022" w:type="dxa"/>
            <w:tcBorders>
              <w:top w:val="single" w:sz="4" w:space="0" w:color="00000A"/>
            </w:tcBorders>
            <w:shd w:val="clear" w:color="auto" w:fill="auto"/>
            <w:tcMar>
              <w:top w:w="0" w:type="dxa"/>
              <w:left w:w="108" w:type="dxa"/>
              <w:bottom w:w="0" w:type="dxa"/>
              <w:right w:w="108" w:type="dxa"/>
            </w:tcMar>
          </w:tcPr>
          <w:p w14:paraId="47083CE8" w14:textId="77777777" w:rsidR="003A3720" w:rsidRPr="00625F58" w:rsidRDefault="003A3720" w:rsidP="006F76F9">
            <w:pPr>
              <w:jc w:val="both"/>
            </w:pPr>
            <w:r w:rsidRPr="00625F58">
              <w:rPr>
                <w:rFonts w:ascii="Times New Roman" w:hAnsi="Times New Roman" w:cs="Times New Roman"/>
                <w:sz w:val="20"/>
                <w:szCs w:val="20"/>
              </w:rPr>
              <w:t>Variables</w:t>
            </w:r>
          </w:p>
        </w:tc>
        <w:tc>
          <w:tcPr>
            <w:tcW w:w="1213" w:type="dxa"/>
            <w:tcBorders>
              <w:top w:val="single" w:sz="4" w:space="0" w:color="00000A"/>
              <w:right w:val="single" w:sz="4" w:space="0" w:color="00000A"/>
            </w:tcBorders>
            <w:shd w:val="clear" w:color="auto" w:fill="auto"/>
            <w:tcMar>
              <w:top w:w="0" w:type="dxa"/>
              <w:left w:w="108" w:type="dxa"/>
              <w:bottom w:w="0" w:type="dxa"/>
              <w:right w:w="108" w:type="dxa"/>
            </w:tcMar>
            <w:vAlign w:val="center"/>
          </w:tcPr>
          <w:p w14:paraId="221561BB" w14:textId="77777777" w:rsidR="003A3720" w:rsidRPr="00625F58" w:rsidRDefault="003A3720" w:rsidP="006F76F9">
            <w:pPr>
              <w:jc w:val="center"/>
            </w:pPr>
          </w:p>
        </w:tc>
        <w:tc>
          <w:tcPr>
            <w:tcW w:w="6259" w:type="dxa"/>
            <w:gridSpan w:val="6"/>
            <w:tcBorders>
              <w:top w:val="single" w:sz="4" w:space="0" w:color="00000A"/>
              <w:right w:val="single" w:sz="4" w:space="0" w:color="00000A"/>
            </w:tcBorders>
            <w:shd w:val="clear" w:color="auto" w:fill="auto"/>
            <w:tcMar>
              <w:top w:w="0" w:type="dxa"/>
              <w:left w:w="108" w:type="dxa"/>
              <w:bottom w:w="0" w:type="dxa"/>
              <w:right w:w="108" w:type="dxa"/>
            </w:tcMar>
          </w:tcPr>
          <w:p w14:paraId="2953076B"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Sampling period</w:t>
            </w:r>
          </w:p>
        </w:tc>
        <w:tc>
          <w:tcPr>
            <w:tcW w:w="2348" w:type="dxa"/>
            <w:gridSpan w:val="2"/>
            <w:tcBorders>
              <w:top w:val="single" w:sz="4" w:space="0" w:color="00000A"/>
              <w:left w:val="single" w:sz="4" w:space="0" w:color="00000A"/>
            </w:tcBorders>
            <w:shd w:val="clear" w:color="auto" w:fill="auto"/>
            <w:tcMar>
              <w:top w:w="0" w:type="dxa"/>
              <w:left w:w="108" w:type="dxa"/>
              <w:bottom w:w="0" w:type="dxa"/>
              <w:right w:w="108" w:type="dxa"/>
            </w:tcMar>
            <w:vAlign w:val="center"/>
          </w:tcPr>
          <w:p w14:paraId="71506E75"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All years</w:t>
            </w:r>
          </w:p>
        </w:tc>
      </w:tr>
      <w:tr w:rsidR="003A3720" w:rsidRPr="00625F58" w14:paraId="26738B66" w14:textId="77777777" w:rsidTr="006F76F9">
        <w:tc>
          <w:tcPr>
            <w:tcW w:w="1022" w:type="dxa"/>
            <w:tcBorders>
              <w:bottom w:val="single" w:sz="4" w:space="0" w:color="00000A"/>
            </w:tcBorders>
            <w:shd w:val="clear" w:color="auto" w:fill="auto"/>
            <w:tcMar>
              <w:top w:w="0" w:type="dxa"/>
              <w:left w:w="108" w:type="dxa"/>
              <w:bottom w:w="0" w:type="dxa"/>
              <w:right w:w="108" w:type="dxa"/>
            </w:tcMar>
          </w:tcPr>
          <w:p w14:paraId="668431AD" w14:textId="77777777" w:rsidR="003A3720" w:rsidRPr="00625F58" w:rsidRDefault="003A3720" w:rsidP="006F76F9">
            <w:pPr>
              <w:jc w:val="both"/>
            </w:pPr>
          </w:p>
        </w:tc>
        <w:tc>
          <w:tcPr>
            <w:tcW w:w="12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7872B22E" w14:textId="77777777" w:rsidR="003A3720" w:rsidRPr="00625F58" w:rsidRDefault="003A3720" w:rsidP="006F76F9">
            <w:pPr>
              <w:jc w:val="center"/>
            </w:pPr>
          </w:p>
        </w:tc>
        <w:tc>
          <w:tcPr>
            <w:tcW w:w="981" w:type="dxa"/>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632A83F9"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1988-90</w:t>
            </w:r>
          </w:p>
        </w:tc>
        <w:tc>
          <w:tcPr>
            <w:tcW w:w="1088" w:type="dxa"/>
            <w:tcBorders>
              <w:bottom w:val="single" w:sz="4" w:space="0" w:color="00000A"/>
            </w:tcBorders>
            <w:shd w:val="clear" w:color="auto" w:fill="auto"/>
            <w:tcMar>
              <w:top w:w="0" w:type="dxa"/>
              <w:left w:w="108" w:type="dxa"/>
              <w:bottom w:w="0" w:type="dxa"/>
              <w:right w:w="108" w:type="dxa"/>
            </w:tcMar>
            <w:vAlign w:val="center"/>
          </w:tcPr>
          <w:p w14:paraId="7115CBA2"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1991-95</w:t>
            </w:r>
          </w:p>
        </w:tc>
        <w:tc>
          <w:tcPr>
            <w:tcW w:w="883" w:type="dxa"/>
            <w:tcBorders>
              <w:bottom w:val="single" w:sz="4" w:space="0" w:color="00000A"/>
            </w:tcBorders>
            <w:shd w:val="clear" w:color="auto" w:fill="auto"/>
            <w:tcMar>
              <w:top w:w="0" w:type="dxa"/>
              <w:left w:w="108" w:type="dxa"/>
              <w:bottom w:w="0" w:type="dxa"/>
              <w:right w:w="108" w:type="dxa"/>
            </w:tcMar>
            <w:vAlign w:val="center"/>
          </w:tcPr>
          <w:p w14:paraId="6C32006F"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1996-99</w:t>
            </w:r>
          </w:p>
        </w:tc>
        <w:tc>
          <w:tcPr>
            <w:tcW w:w="1118" w:type="dxa"/>
            <w:tcBorders>
              <w:bottom w:val="single" w:sz="4" w:space="0" w:color="00000A"/>
            </w:tcBorders>
            <w:shd w:val="clear" w:color="auto" w:fill="auto"/>
            <w:tcMar>
              <w:top w:w="0" w:type="dxa"/>
              <w:left w:w="108" w:type="dxa"/>
              <w:bottom w:w="0" w:type="dxa"/>
              <w:right w:w="108" w:type="dxa"/>
            </w:tcMar>
            <w:vAlign w:val="center"/>
          </w:tcPr>
          <w:p w14:paraId="55478275"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2000-02</w:t>
            </w:r>
          </w:p>
        </w:tc>
        <w:tc>
          <w:tcPr>
            <w:tcW w:w="1070" w:type="dxa"/>
            <w:tcBorders>
              <w:bottom w:val="single" w:sz="4" w:space="0" w:color="00000A"/>
            </w:tcBorders>
            <w:shd w:val="clear" w:color="auto" w:fill="auto"/>
            <w:tcMar>
              <w:top w:w="0" w:type="dxa"/>
              <w:left w:w="108" w:type="dxa"/>
              <w:bottom w:w="0" w:type="dxa"/>
              <w:right w:w="108" w:type="dxa"/>
            </w:tcMar>
            <w:vAlign w:val="center"/>
          </w:tcPr>
          <w:p w14:paraId="33649E24"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2003-05</w:t>
            </w:r>
          </w:p>
        </w:tc>
        <w:tc>
          <w:tcPr>
            <w:tcW w:w="1119"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3613AA8A"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2006-09</w:t>
            </w:r>
          </w:p>
        </w:tc>
        <w:tc>
          <w:tcPr>
            <w:tcW w:w="1081" w:type="dxa"/>
            <w:tcBorders>
              <w:left w:val="single" w:sz="4" w:space="0" w:color="00000A"/>
              <w:bottom w:val="single" w:sz="4" w:space="0" w:color="00000A"/>
            </w:tcBorders>
            <w:shd w:val="clear" w:color="auto" w:fill="auto"/>
            <w:tcMar>
              <w:top w:w="0" w:type="dxa"/>
              <w:left w:w="108" w:type="dxa"/>
              <w:bottom w:w="0" w:type="dxa"/>
              <w:right w:w="108" w:type="dxa"/>
            </w:tcMar>
            <w:vAlign w:val="center"/>
          </w:tcPr>
          <w:p w14:paraId="2B823358"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Total</w:t>
            </w:r>
          </w:p>
        </w:tc>
        <w:tc>
          <w:tcPr>
            <w:tcW w:w="1267" w:type="dxa"/>
            <w:tcBorders>
              <w:bottom w:val="single" w:sz="4" w:space="0" w:color="00000A"/>
            </w:tcBorders>
            <w:shd w:val="clear" w:color="auto" w:fill="auto"/>
            <w:tcMar>
              <w:top w:w="0" w:type="dxa"/>
              <w:left w:w="108" w:type="dxa"/>
              <w:bottom w:w="0" w:type="dxa"/>
              <w:right w:w="108" w:type="dxa"/>
            </w:tcMar>
            <w:vAlign w:val="center"/>
          </w:tcPr>
          <w:p w14:paraId="3CF88E30"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Mean</w:t>
            </w:r>
          </w:p>
        </w:tc>
      </w:tr>
      <w:tr w:rsidR="003A3720" w:rsidRPr="00625F58" w14:paraId="0310D1A6" w14:textId="77777777" w:rsidTr="006F76F9">
        <w:tc>
          <w:tcPr>
            <w:tcW w:w="2235" w:type="dxa"/>
            <w:gridSpan w:val="2"/>
            <w:tcBorders>
              <w:top w:val="single" w:sz="4" w:space="0" w:color="00000A"/>
              <w:right w:val="single" w:sz="4" w:space="0" w:color="00000A"/>
            </w:tcBorders>
            <w:shd w:val="clear" w:color="auto" w:fill="auto"/>
            <w:tcMar>
              <w:top w:w="0" w:type="dxa"/>
              <w:left w:w="108" w:type="dxa"/>
              <w:bottom w:w="0" w:type="dxa"/>
              <w:right w:w="108" w:type="dxa"/>
            </w:tcMar>
          </w:tcPr>
          <w:p w14:paraId="39B7983B" w14:textId="77777777" w:rsidR="003A3720" w:rsidRPr="00625F58" w:rsidRDefault="003A3720" w:rsidP="006F76F9">
            <w:pPr>
              <w:jc w:val="both"/>
            </w:pPr>
            <w:r w:rsidRPr="00625F58">
              <w:rPr>
                <w:rFonts w:ascii="Times New Roman" w:eastAsia="Times New Roman" w:hAnsi="Times New Roman" w:cs="Times New Roman"/>
                <w:sz w:val="20"/>
                <w:szCs w:val="20"/>
                <w:lang w:eastAsia="en-GB"/>
              </w:rPr>
              <w:t>Number of years</w:t>
            </w:r>
          </w:p>
        </w:tc>
        <w:tc>
          <w:tcPr>
            <w:tcW w:w="981" w:type="dxa"/>
            <w:tcBorders>
              <w:top w:val="single" w:sz="4" w:space="0" w:color="00000A"/>
              <w:left w:val="single" w:sz="4" w:space="0" w:color="00000A"/>
            </w:tcBorders>
            <w:shd w:val="clear" w:color="auto" w:fill="auto"/>
            <w:tcMar>
              <w:top w:w="0" w:type="dxa"/>
              <w:left w:w="108" w:type="dxa"/>
              <w:bottom w:w="0" w:type="dxa"/>
              <w:right w:w="108" w:type="dxa"/>
            </w:tcMar>
            <w:vAlign w:val="center"/>
          </w:tcPr>
          <w:p w14:paraId="5357D08C"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3</w:t>
            </w:r>
          </w:p>
        </w:tc>
        <w:tc>
          <w:tcPr>
            <w:tcW w:w="1088" w:type="dxa"/>
            <w:tcBorders>
              <w:top w:val="single" w:sz="4" w:space="0" w:color="00000A"/>
            </w:tcBorders>
            <w:shd w:val="clear" w:color="auto" w:fill="auto"/>
            <w:tcMar>
              <w:top w:w="0" w:type="dxa"/>
              <w:left w:w="108" w:type="dxa"/>
              <w:bottom w:w="0" w:type="dxa"/>
              <w:right w:w="108" w:type="dxa"/>
            </w:tcMar>
            <w:vAlign w:val="center"/>
          </w:tcPr>
          <w:p w14:paraId="6AE85EC7"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5</w:t>
            </w:r>
          </w:p>
        </w:tc>
        <w:tc>
          <w:tcPr>
            <w:tcW w:w="883" w:type="dxa"/>
            <w:tcBorders>
              <w:top w:val="single" w:sz="4" w:space="0" w:color="00000A"/>
            </w:tcBorders>
            <w:shd w:val="clear" w:color="auto" w:fill="auto"/>
            <w:tcMar>
              <w:top w:w="0" w:type="dxa"/>
              <w:left w:w="108" w:type="dxa"/>
              <w:bottom w:w="0" w:type="dxa"/>
              <w:right w:w="108" w:type="dxa"/>
            </w:tcMar>
            <w:vAlign w:val="center"/>
          </w:tcPr>
          <w:p w14:paraId="6F88E2EA"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4</w:t>
            </w:r>
          </w:p>
        </w:tc>
        <w:tc>
          <w:tcPr>
            <w:tcW w:w="1118" w:type="dxa"/>
            <w:tcBorders>
              <w:top w:val="single" w:sz="4" w:space="0" w:color="00000A"/>
            </w:tcBorders>
            <w:shd w:val="clear" w:color="auto" w:fill="auto"/>
            <w:tcMar>
              <w:top w:w="0" w:type="dxa"/>
              <w:left w:w="108" w:type="dxa"/>
              <w:bottom w:w="0" w:type="dxa"/>
              <w:right w:w="108" w:type="dxa"/>
            </w:tcMar>
            <w:vAlign w:val="center"/>
          </w:tcPr>
          <w:p w14:paraId="71761720"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3</w:t>
            </w:r>
          </w:p>
        </w:tc>
        <w:tc>
          <w:tcPr>
            <w:tcW w:w="1070" w:type="dxa"/>
            <w:tcBorders>
              <w:top w:val="single" w:sz="4" w:space="0" w:color="00000A"/>
            </w:tcBorders>
            <w:shd w:val="clear" w:color="auto" w:fill="auto"/>
            <w:tcMar>
              <w:top w:w="0" w:type="dxa"/>
              <w:left w:w="108" w:type="dxa"/>
              <w:bottom w:w="0" w:type="dxa"/>
              <w:right w:w="108" w:type="dxa"/>
            </w:tcMar>
            <w:vAlign w:val="center"/>
          </w:tcPr>
          <w:p w14:paraId="5A622B06"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3</w:t>
            </w:r>
          </w:p>
        </w:tc>
        <w:tc>
          <w:tcPr>
            <w:tcW w:w="1119" w:type="dxa"/>
            <w:tcBorders>
              <w:top w:val="single" w:sz="4" w:space="0" w:color="00000A"/>
              <w:right w:val="single" w:sz="4" w:space="0" w:color="00000A"/>
            </w:tcBorders>
            <w:shd w:val="clear" w:color="auto" w:fill="auto"/>
            <w:tcMar>
              <w:top w:w="0" w:type="dxa"/>
              <w:left w:w="108" w:type="dxa"/>
              <w:bottom w:w="0" w:type="dxa"/>
              <w:right w:w="108" w:type="dxa"/>
            </w:tcMar>
            <w:vAlign w:val="center"/>
          </w:tcPr>
          <w:p w14:paraId="03195D86"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4</w:t>
            </w:r>
          </w:p>
        </w:tc>
        <w:tc>
          <w:tcPr>
            <w:tcW w:w="1081" w:type="dxa"/>
            <w:tcBorders>
              <w:top w:val="single" w:sz="4" w:space="0" w:color="00000A"/>
              <w:left w:val="single" w:sz="4" w:space="0" w:color="00000A"/>
            </w:tcBorders>
            <w:shd w:val="clear" w:color="auto" w:fill="auto"/>
            <w:tcMar>
              <w:top w:w="0" w:type="dxa"/>
              <w:left w:w="108" w:type="dxa"/>
              <w:bottom w:w="0" w:type="dxa"/>
              <w:right w:w="108" w:type="dxa"/>
            </w:tcMar>
            <w:vAlign w:val="center"/>
          </w:tcPr>
          <w:p w14:paraId="7F259712"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22</w:t>
            </w:r>
          </w:p>
        </w:tc>
        <w:tc>
          <w:tcPr>
            <w:tcW w:w="1267" w:type="dxa"/>
            <w:tcBorders>
              <w:top w:val="single" w:sz="4" w:space="0" w:color="00000A"/>
            </w:tcBorders>
            <w:shd w:val="clear" w:color="auto" w:fill="auto"/>
            <w:tcMar>
              <w:top w:w="0" w:type="dxa"/>
              <w:left w:w="108" w:type="dxa"/>
              <w:bottom w:w="0" w:type="dxa"/>
              <w:right w:w="108" w:type="dxa"/>
            </w:tcMar>
            <w:vAlign w:val="center"/>
          </w:tcPr>
          <w:p w14:paraId="602192FD" w14:textId="77777777" w:rsidR="003A3720" w:rsidRPr="00625F58" w:rsidRDefault="003A3720" w:rsidP="006F76F9">
            <w:pPr>
              <w:jc w:val="center"/>
            </w:pPr>
          </w:p>
        </w:tc>
      </w:tr>
      <w:tr w:rsidR="003A3720" w:rsidRPr="00625F58" w14:paraId="4A8738CF" w14:textId="77777777" w:rsidTr="006F76F9">
        <w:tc>
          <w:tcPr>
            <w:tcW w:w="1022" w:type="dxa"/>
            <w:shd w:val="clear" w:color="auto" w:fill="auto"/>
            <w:tcMar>
              <w:top w:w="0" w:type="dxa"/>
              <w:left w:w="108" w:type="dxa"/>
              <w:bottom w:w="0" w:type="dxa"/>
              <w:right w:w="108" w:type="dxa"/>
            </w:tcMar>
          </w:tcPr>
          <w:p w14:paraId="374789B3" w14:textId="77777777" w:rsidR="003A3720" w:rsidRPr="00625F58" w:rsidRDefault="003A3720" w:rsidP="006F76F9"/>
        </w:tc>
        <w:tc>
          <w:tcPr>
            <w:tcW w:w="1213" w:type="dxa"/>
            <w:tcBorders>
              <w:right w:val="single" w:sz="4" w:space="0" w:color="00000A"/>
            </w:tcBorders>
            <w:shd w:val="clear" w:color="auto" w:fill="auto"/>
            <w:tcMar>
              <w:top w:w="0" w:type="dxa"/>
              <w:left w:w="108" w:type="dxa"/>
              <w:bottom w:w="0" w:type="dxa"/>
              <w:right w:w="108" w:type="dxa"/>
            </w:tcMar>
          </w:tcPr>
          <w:p w14:paraId="4E7A5AF1" w14:textId="77777777" w:rsidR="003A3720" w:rsidRPr="00625F58" w:rsidRDefault="003A3720" w:rsidP="006F76F9">
            <w:pPr>
              <w:jc w:val="both"/>
            </w:pPr>
          </w:p>
        </w:tc>
        <w:tc>
          <w:tcPr>
            <w:tcW w:w="981" w:type="dxa"/>
            <w:tcBorders>
              <w:left w:val="single" w:sz="4" w:space="0" w:color="00000A"/>
            </w:tcBorders>
            <w:shd w:val="clear" w:color="auto" w:fill="auto"/>
            <w:tcMar>
              <w:top w:w="0" w:type="dxa"/>
              <w:left w:w="108" w:type="dxa"/>
              <w:bottom w:w="0" w:type="dxa"/>
              <w:right w:w="108" w:type="dxa"/>
            </w:tcMar>
            <w:vAlign w:val="center"/>
          </w:tcPr>
          <w:p w14:paraId="46FFA1E6" w14:textId="77777777" w:rsidR="003A3720" w:rsidRPr="00625F58" w:rsidRDefault="003A3720" w:rsidP="006F76F9">
            <w:pPr>
              <w:jc w:val="center"/>
            </w:pPr>
          </w:p>
        </w:tc>
        <w:tc>
          <w:tcPr>
            <w:tcW w:w="1088" w:type="dxa"/>
            <w:shd w:val="clear" w:color="auto" w:fill="auto"/>
            <w:tcMar>
              <w:top w:w="0" w:type="dxa"/>
              <w:left w:w="108" w:type="dxa"/>
              <w:bottom w:w="0" w:type="dxa"/>
              <w:right w:w="108" w:type="dxa"/>
            </w:tcMar>
            <w:vAlign w:val="center"/>
          </w:tcPr>
          <w:p w14:paraId="57F2BFEE" w14:textId="77777777" w:rsidR="003A3720" w:rsidRPr="00625F58" w:rsidRDefault="003A3720" w:rsidP="006F76F9">
            <w:pPr>
              <w:jc w:val="center"/>
            </w:pPr>
          </w:p>
        </w:tc>
        <w:tc>
          <w:tcPr>
            <w:tcW w:w="883" w:type="dxa"/>
            <w:shd w:val="clear" w:color="auto" w:fill="auto"/>
            <w:tcMar>
              <w:top w:w="0" w:type="dxa"/>
              <w:left w:w="108" w:type="dxa"/>
              <w:bottom w:w="0" w:type="dxa"/>
              <w:right w:w="108" w:type="dxa"/>
            </w:tcMar>
            <w:vAlign w:val="center"/>
          </w:tcPr>
          <w:p w14:paraId="16BA0353" w14:textId="77777777" w:rsidR="003A3720" w:rsidRPr="00625F58" w:rsidRDefault="003A3720" w:rsidP="006F76F9">
            <w:pPr>
              <w:jc w:val="center"/>
            </w:pPr>
          </w:p>
        </w:tc>
        <w:tc>
          <w:tcPr>
            <w:tcW w:w="1118" w:type="dxa"/>
            <w:shd w:val="clear" w:color="auto" w:fill="auto"/>
            <w:tcMar>
              <w:top w:w="0" w:type="dxa"/>
              <w:left w:w="108" w:type="dxa"/>
              <w:bottom w:w="0" w:type="dxa"/>
              <w:right w:w="108" w:type="dxa"/>
            </w:tcMar>
            <w:vAlign w:val="center"/>
          </w:tcPr>
          <w:p w14:paraId="791E5646" w14:textId="77777777" w:rsidR="003A3720" w:rsidRPr="00625F58" w:rsidRDefault="003A3720" w:rsidP="006F76F9">
            <w:pPr>
              <w:jc w:val="center"/>
            </w:pPr>
          </w:p>
        </w:tc>
        <w:tc>
          <w:tcPr>
            <w:tcW w:w="1070" w:type="dxa"/>
            <w:shd w:val="clear" w:color="auto" w:fill="auto"/>
            <w:tcMar>
              <w:top w:w="0" w:type="dxa"/>
              <w:left w:w="108" w:type="dxa"/>
              <w:bottom w:w="0" w:type="dxa"/>
              <w:right w:w="108" w:type="dxa"/>
            </w:tcMar>
            <w:vAlign w:val="center"/>
          </w:tcPr>
          <w:p w14:paraId="1BE0B471" w14:textId="77777777" w:rsidR="003A3720" w:rsidRPr="00625F58" w:rsidRDefault="003A3720" w:rsidP="006F76F9">
            <w:pPr>
              <w:jc w:val="center"/>
            </w:pPr>
          </w:p>
        </w:tc>
        <w:tc>
          <w:tcPr>
            <w:tcW w:w="1119" w:type="dxa"/>
            <w:tcBorders>
              <w:right w:val="single" w:sz="4" w:space="0" w:color="00000A"/>
            </w:tcBorders>
            <w:shd w:val="clear" w:color="auto" w:fill="auto"/>
            <w:tcMar>
              <w:top w:w="0" w:type="dxa"/>
              <w:left w:w="108" w:type="dxa"/>
              <w:bottom w:w="0" w:type="dxa"/>
              <w:right w:w="108" w:type="dxa"/>
            </w:tcMar>
            <w:vAlign w:val="center"/>
          </w:tcPr>
          <w:p w14:paraId="16771404" w14:textId="77777777" w:rsidR="003A3720" w:rsidRPr="00625F58" w:rsidRDefault="003A3720" w:rsidP="006F76F9">
            <w:pPr>
              <w:jc w:val="center"/>
            </w:pPr>
          </w:p>
        </w:tc>
        <w:tc>
          <w:tcPr>
            <w:tcW w:w="1081" w:type="dxa"/>
            <w:tcBorders>
              <w:left w:val="single" w:sz="4" w:space="0" w:color="00000A"/>
            </w:tcBorders>
            <w:shd w:val="clear" w:color="auto" w:fill="auto"/>
            <w:tcMar>
              <w:top w:w="0" w:type="dxa"/>
              <w:left w:w="108" w:type="dxa"/>
              <w:bottom w:w="0" w:type="dxa"/>
              <w:right w:w="108" w:type="dxa"/>
            </w:tcMar>
            <w:vAlign w:val="center"/>
          </w:tcPr>
          <w:p w14:paraId="7147A36F" w14:textId="77777777" w:rsidR="003A3720" w:rsidRPr="00625F58" w:rsidRDefault="003A3720" w:rsidP="006F76F9">
            <w:pPr>
              <w:jc w:val="center"/>
            </w:pPr>
          </w:p>
        </w:tc>
        <w:tc>
          <w:tcPr>
            <w:tcW w:w="1267" w:type="dxa"/>
            <w:shd w:val="clear" w:color="auto" w:fill="auto"/>
            <w:tcMar>
              <w:top w:w="0" w:type="dxa"/>
              <w:left w:w="108" w:type="dxa"/>
              <w:bottom w:w="0" w:type="dxa"/>
              <w:right w:w="108" w:type="dxa"/>
            </w:tcMar>
            <w:vAlign w:val="center"/>
          </w:tcPr>
          <w:p w14:paraId="6455CC30" w14:textId="77777777" w:rsidR="003A3720" w:rsidRPr="00625F58" w:rsidRDefault="003A3720" w:rsidP="006F76F9">
            <w:pPr>
              <w:jc w:val="center"/>
            </w:pPr>
          </w:p>
        </w:tc>
      </w:tr>
      <w:tr w:rsidR="003A3720" w:rsidRPr="00625F58" w14:paraId="20722766" w14:textId="77777777" w:rsidTr="006F76F9">
        <w:tc>
          <w:tcPr>
            <w:tcW w:w="2235" w:type="dxa"/>
            <w:gridSpan w:val="2"/>
            <w:tcBorders>
              <w:right w:val="single" w:sz="4" w:space="0" w:color="00000A"/>
            </w:tcBorders>
            <w:shd w:val="clear" w:color="auto" w:fill="auto"/>
            <w:tcMar>
              <w:top w:w="0" w:type="dxa"/>
              <w:left w:w="108" w:type="dxa"/>
              <w:bottom w:w="0" w:type="dxa"/>
              <w:right w:w="108" w:type="dxa"/>
            </w:tcMar>
          </w:tcPr>
          <w:p w14:paraId="409B4234" w14:textId="77777777" w:rsidR="003A3720" w:rsidRPr="00625F58" w:rsidRDefault="003A3720" w:rsidP="006F76F9">
            <w:pPr>
              <w:jc w:val="both"/>
            </w:pPr>
            <w:r w:rsidRPr="00625F58">
              <w:rPr>
                <w:rFonts w:ascii="Times New Roman" w:eastAsia="Times New Roman" w:hAnsi="Times New Roman" w:cs="Times New Roman"/>
                <w:sz w:val="20"/>
                <w:szCs w:val="20"/>
                <w:lang w:eastAsia="en-GB"/>
              </w:rPr>
              <w:t>Number of burns</w:t>
            </w:r>
          </w:p>
        </w:tc>
        <w:tc>
          <w:tcPr>
            <w:tcW w:w="981" w:type="dxa"/>
            <w:tcBorders>
              <w:left w:val="single" w:sz="4" w:space="0" w:color="00000A"/>
            </w:tcBorders>
            <w:shd w:val="clear" w:color="auto" w:fill="auto"/>
            <w:tcMar>
              <w:top w:w="0" w:type="dxa"/>
              <w:left w:w="108" w:type="dxa"/>
              <w:bottom w:w="0" w:type="dxa"/>
              <w:right w:w="108" w:type="dxa"/>
            </w:tcMar>
            <w:vAlign w:val="center"/>
          </w:tcPr>
          <w:p w14:paraId="1F47990A"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61</w:t>
            </w:r>
          </w:p>
        </w:tc>
        <w:tc>
          <w:tcPr>
            <w:tcW w:w="1088" w:type="dxa"/>
            <w:shd w:val="clear" w:color="auto" w:fill="auto"/>
            <w:tcMar>
              <w:top w:w="0" w:type="dxa"/>
              <w:left w:w="108" w:type="dxa"/>
              <w:bottom w:w="0" w:type="dxa"/>
              <w:right w:w="108" w:type="dxa"/>
            </w:tcMar>
            <w:vAlign w:val="center"/>
          </w:tcPr>
          <w:p w14:paraId="18C6C770"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716</w:t>
            </w:r>
          </w:p>
        </w:tc>
        <w:tc>
          <w:tcPr>
            <w:tcW w:w="883" w:type="dxa"/>
            <w:shd w:val="clear" w:color="auto" w:fill="auto"/>
            <w:tcMar>
              <w:top w:w="0" w:type="dxa"/>
              <w:left w:w="108" w:type="dxa"/>
              <w:bottom w:w="0" w:type="dxa"/>
              <w:right w:w="108" w:type="dxa"/>
            </w:tcMar>
            <w:vAlign w:val="center"/>
          </w:tcPr>
          <w:p w14:paraId="1CDDCD03"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555</w:t>
            </w:r>
          </w:p>
        </w:tc>
        <w:tc>
          <w:tcPr>
            <w:tcW w:w="1118" w:type="dxa"/>
            <w:shd w:val="clear" w:color="auto" w:fill="auto"/>
            <w:tcMar>
              <w:top w:w="0" w:type="dxa"/>
              <w:left w:w="108" w:type="dxa"/>
              <w:bottom w:w="0" w:type="dxa"/>
              <w:right w:w="108" w:type="dxa"/>
            </w:tcMar>
            <w:vAlign w:val="center"/>
          </w:tcPr>
          <w:p w14:paraId="040E9DD9"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498</w:t>
            </w:r>
          </w:p>
        </w:tc>
        <w:tc>
          <w:tcPr>
            <w:tcW w:w="1070" w:type="dxa"/>
            <w:shd w:val="clear" w:color="auto" w:fill="auto"/>
            <w:tcMar>
              <w:top w:w="0" w:type="dxa"/>
              <w:left w:w="108" w:type="dxa"/>
              <w:bottom w:w="0" w:type="dxa"/>
              <w:right w:w="108" w:type="dxa"/>
            </w:tcMar>
            <w:vAlign w:val="center"/>
          </w:tcPr>
          <w:p w14:paraId="3FCA3253" w14:textId="77777777" w:rsidR="003A3720" w:rsidRPr="00625F58" w:rsidRDefault="003A3720" w:rsidP="006F76F9">
            <w:pPr>
              <w:jc w:val="center"/>
            </w:pPr>
            <w:r w:rsidRPr="00625F58">
              <w:rPr>
                <w:rFonts w:ascii="Times New Roman" w:eastAsia="Times New Roman" w:hAnsi="Times New Roman" w:cs="Times New Roman"/>
                <w:iCs/>
                <w:sz w:val="20"/>
                <w:szCs w:val="20"/>
                <w:lang w:eastAsia="en-GB"/>
              </w:rPr>
              <w:t>201</w:t>
            </w:r>
          </w:p>
        </w:tc>
        <w:tc>
          <w:tcPr>
            <w:tcW w:w="1119" w:type="dxa"/>
            <w:tcBorders>
              <w:right w:val="single" w:sz="4" w:space="0" w:color="00000A"/>
            </w:tcBorders>
            <w:shd w:val="clear" w:color="auto" w:fill="auto"/>
            <w:tcMar>
              <w:top w:w="0" w:type="dxa"/>
              <w:left w:w="108" w:type="dxa"/>
              <w:bottom w:w="0" w:type="dxa"/>
              <w:right w:w="108" w:type="dxa"/>
            </w:tcMar>
            <w:vAlign w:val="center"/>
          </w:tcPr>
          <w:p w14:paraId="4AF95F3C"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530</w:t>
            </w:r>
          </w:p>
        </w:tc>
        <w:tc>
          <w:tcPr>
            <w:tcW w:w="1081" w:type="dxa"/>
            <w:tcBorders>
              <w:left w:val="single" w:sz="4" w:space="0" w:color="00000A"/>
            </w:tcBorders>
            <w:shd w:val="clear" w:color="auto" w:fill="auto"/>
            <w:tcMar>
              <w:top w:w="0" w:type="dxa"/>
              <w:left w:w="108" w:type="dxa"/>
              <w:bottom w:w="0" w:type="dxa"/>
              <w:right w:w="108" w:type="dxa"/>
            </w:tcMar>
            <w:vAlign w:val="center"/>
          </w:tcPr>
          <w:p w14:paraId="5BC76CC4"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2,561</w:t>
            </w:r>
          </w:p>
        </w:tc>
        <w:tc>
          <w:tcPr>
            <w:tcW w:w="1267" w:type="dxa"/>
            <w:shd w:val="clear" w:color="auto" w:fill="auto"/>
            <w:tcMar>
              <w:top w:w="0" w:type="dxa"/>
              <w:left w:w="108" w:type="dxa"/>
              <w:bottom w:w="0" w:type="dxa"/>
              <w:right w:w="108" w:type="dxa"/>
            </w:tcMar>
            <w:vAlign w:val="center"/>
          </w:tcPr>
          <w:p w14:paraId="0CA49198"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116 per year</w:t>
            </w:r>
          </w:p>
        </w:tc>
      </w:tr>
      <w:tr w:rsidR="003A3720" w:rsidRPr="00625F58" w14:paraId="17D53063" w14:textId="77777777" w:rsidTr="006F76F9">
        <w:tc>
          <w:tcPr>
            <w:tcW w:w="1022" w:type="dxa"/>
            <w:tcBorders>
              <w:bottom w:val="nil"/>
            </w:tcBorders>
            <w:shd w:val="clear" w:color="auto" w:fill="auto"/>
            <w:tcMar>
              <w:top w:w="0" w:type="dxa"/>
              <w:left w:w="108" w:type="dxa"/>
              <w:bottom w:w="0" w:type="dxa"/>
              <w:right w:w="108" w:type="dxa"/>
            </w:tcMar>
          </w:tcPr>
          <w:p w14:paraId="565E29DA" w14:textId="77777777" w:rsidR="003A3720" w:rsidRPr="00625F58" w:rsidRDefault="003A3720" w:rsidP="006F76F9"/>
        </w:tc>
        <w:tc>
          <w:tcPr>
            <w:tcW w:w="1213" w:type="dxa"/>
            <w:tcBorders>
              <w:bottom w:val="nil"/>
              <w:right w:val="single" w:sz="4" w:space="0" w:color="00000A"/>
            </w:tcBorders>
            <w:shd w:val="clear" w:color="auto" w:fill="auto"/>
            <w:tcMar>
              <w:top w:w="0" w:type="dxa"/>
              <w:left w:w="108" w:type="dxa"/>
              <w:bottom w:w="0" w:type="dxa"/>
              <w:right w:w="108" w:type="dxa"/>
            </w:tcMar>
          </w:tcPr>
          <w:p w14:paraId="75787A11" w14:textId="77777777" w:rsidR="003A3720" w:rsidRPr="00625F58" w:rsidRDefault="003A3720" w:rsidP="006F76F9">
            <w:pPr>
              <w:jc w:val="both"/>
            </w:pPr>
          </w:p>
        </w:tc>
        <w:tc>
          <w:tcPr>
            <w:tcW w:w="981" w:type="dxa"/>
            <w:tcBorders>
              <w:left w:val="single" w:sz="4" w:space="0" w:color="00000A"/>
            </w:tcBorders>
            <w:shd w:val="clear" w:color="auto" w:fill="auto"/>
            <w:tcMar>
              <w:top w:w="0" w:type="dxa"/>
              <w:left w:w="108" w:type="dxa"/>
              <w:bottom w:w="0" w:type="dxa"/>
              <w:right w:w="108" w:type="dxa"/>
            </w:tcMar>
            <w:vAlign w:val="center"/>
          </w:tcPr>
          <w:p w14:paraId="29EFD144" w14:textId="77777777" w:rsidR="003A3720" w:rsidRPr="00625F58" w:rsidRDefault="003A3720" w:rsidP="006F76F9">
            <w:pPr>
              <w:jc w:val="center"/>
            </w:pPr>
          </w:p>
        </w:tc>
        <w:tc>
          <w:tcPr>
            <w:tcW w:w="1088" w:type="dxa"/>
            <w:shd w:val="clear" w:color="auto" w:fill="auto"/>
            <w:tcMar>
              <w:top w:w="0" w:type="dxa"/>
              <w:left w:w="108" w:type="dxa"/>
              <w:bottom w:w="0" w:type="dxa"/>
              <w:right w:w="108" w:type="dxa"/>
            </w:tcMar>
            <w:vAlign w:val="center"/>
          </w:tcPr>
          <w:p w14:paraId="703BF78A" w14:textId="77777777" w:rsidR="003A3720" w:rsidRPr="00625F58" w:rsidRDefault="003A3720" w:rsidP="006F76F9">
            <w:pPr>
              <w:jc w:val="center"/>
            </w:pPr>
          </w:p>
        </w:tc>
        <w:tc>
          <w:tcPr>
            <w:tcW w:w="883" w:type="dxa"/>
            <w:shd w:val="clear" w:color="auto" w:fill="auto"/>
            <w:tcMar>
              <w:top w:w="0" w:type="dxa"/>
              <w:left w:w="108" w:type="dxa"/>
              <w:bottom w:w="0" w:type="dxa"/>
              <w:right w:w="108" w:type="dxa"/>
            </w:tcMar>
            <w:vAlign w:val="center"/>
          </w:tcPr>
          <w:p w14:paraId="4794612B" w14:textId="77777777" w:rsidR="003A3720" w:rsidRPr="00625F58" w:rsidRDefault="003A3720" w:rsidP="006F76F9">
            <w:pPr>
              <w:jc w:val="center"/>
            </w:pPr>
          </w:p>
        </w:tc>
        <w:tc>
          <w:tcPr>
            <w:tcW w:w="1118" w:type="dxa"/>
            <w:shd w:val="clear" w:color="auto" w:fill="auto"/>
            <w:tcMar>
              <w:top w:w="0" w:type="dxa"/>
              <w:left w:w="108" w:type="dxa"/>
              <w:bottom w:w="0" w:type="dxa"/>
              <w:right w:w="108" w:type="dxa"/>
            </w:tcMar>
            <w:vAlign w:val="center"/>
          </w:tcPr>
          <w:p w14:paraId="2260882A" w14:textId="77777777" w:rsidR="003A3720" w:rsidRPr="00625F58" w:rsidRDefault="003A3720" w:rsidP="006F76F9">
            <w:pPr>
              <w:jc w:val="center"/>
            </w:pPr>
          </w:p>
        </w:tc>
        <w:tc>
          <w:tcPr>
            <w:tcW w:w="1070" w:type="dxa"/>
            <w:shd w:val="clear" w:color="auto" w:fill="auto"/>
            <w:tcMar>
              <w:top w:w="0" w:type="dxa"/>
              <w:left w:w="108" w:type="dxa"/>
              <w:bottom w:w="0" w:type="dxa"/>
              <w:right w:w="108" w:type="dxa"/>
            </w:tcMar>
            <w:vAlign w:val="center"/>
          </w:tcPr>
          <w:p w14:paraId="6C54690E" w14:textId="77777777" w:rsidR="003A3720" w:rsidRPr="00625F58" w:rsidRDefault="003A3720" w:rsidP="006F76F9">
            <w:pPr>
              <w:jc w:val="center"/>
            </w:pPr>
          </w:p>
        </w:tc>
        <w:tc>
          <w:tcPr>
            <w:tcW w:w="1119" w:type="dxa"/>
            <w:tcBorders>
              <w:right w:val="single" w:sz="4" w:space="0" w:color="00000A"/>
            </w:tcBorders>
            <w:shd w:val="clear" w:color="auto" w:fill="auto"/>
            <w:tcMar>
              <w:top w:w="0" w:type="dxa"/>
              <w:left w:w="108" w:type="dxa"/>
              <w:bottom w:w="0" w:type="dxa"/>
              <w:right w:w="108" w:type="dxa"/>
            </w:tcMar>
            <w:vAlign w:val="center"/>
          </w:tcPr>
          <w:p w14:paraId="7D4F27F5" w14:textId="77777777" w:rsidR="003A3720" w:rsidRPr="00625F58" w:rsidRDefault="003A3720" w:rsidP="006F76F9">
            <w:pPr>
              <w:jc w:val="center"/>
            </w:pPr>
          </w:p>
        </w:tc>
        <w:tc>
          <w:tcPr>
            <w:tcW w:w="1081" w:type="dxa"/>
            <w:tcBorders>
              <w:left w:val="single" w:sz="4" w:space="0" w:color="00000A"/>
            </w:tcBorders>
            <w:shd w:val="clear" w:color="auto" w:fill="auto"/>
            <w:tcMar>
              <w:top w:w="0" w:type="dxa"/>
              <w:left w:w="108" w:type="dxa"/>
              <w:bottom w:w="0" w:type="dxa"/>
              <w:right w:w="108" w:type="dxa"/>
            </w:tcMar>
            <w:vAlign w:val="center"/>
          </w:tcPr>
          <w:p w14:paraId="60BCD52B" w14:textId="77777777" w:rsidR="003A3720" w:rsidRPr="00625F58" w:rsidRDefault="003A3720" w:rsidP="006F76F9">
            <w:pPr>
              <w:jc w:val="center"/>
            </w:pPr>
          </w:p>
        </w:tc>
        <w:tc>
          <w:tcPr>
            <w:tcW w:w="1267" w:type="dxa"/>
            <w:shd w:val="clear" w:color="auto" w:fill="auto"/>
            <w:tcMar>
              <w:top w:w="0" w:type="dxa"/>
              <w:left w:w="108" w:type="dxa"/>
              <w:bottom w:w="0" w:type="dxa"/>
              <w:right w:w="108" w:type="dxa"/>
            </w:tcMar>
            <w:vAlign w:val="center"/>
          </w:tcPr>
          <w:p w14:paraId="474AB381" w14:textId="77777777" w:rsidR="003A3720" w:rsidRPr="00625F58" w:rsidRDefault="003A3720" w:rsidP="006F76F9">
            <w:pPr>
              <w:jc w:val="center"/>
            </w:pPr>
          </w:p>
        </w:tc>
      </w:tr>
      <w:tr w:rsidR="003A3720" w:rsidRPr="00625F58" w14:paraId="6C4F9FEA" w14:textId="77777777" w:rsidTr="006F76F9">
        <w:tc>
          <w:tcPr>
            <w:tcW w:w="1022" w:type="dxa"/>
            <w:vMerge w:val="restart"/>
            <w:tcBorders>
              <w:top w:val="nil"/>
            </w:tcBorders>
            <w:shd w:val="clear" w:color="auto" w:fill="auto"/>
            <w:tcMar>
              <w:top w:w="0" w:type="dxa"/>
              <w:left w:w="108" w:type="dxa"/>
              <w:bottom w:w="0" w:type="dxa"/>
              <w:right w:w="108" w:type="dxa"/>
            </w:tcMar>
          </w:tcPr>
          <w:p w14:paraId="68ADF53E" w14:textId="77777777" w:rsidR="003A3720" w:rsidRPr="00625F58" w:rsidRDefault="003A3720" w:rsidP="006F76F9">
            <w:r w:rsidRPr="00625F58">
              <w:rPr>
                <w:rFonts w:ascii="Times New Roman" w:hAnsi="Times New Roman" w:cs="Times New Roman"/>
                <w:sz w:val="20"/>
                <w:szCs w:val="20"/>
              </w:rPr>
              <w:t>Area of burns (m</w:t>
            </w:r>
            <w:r w:rsidRPr="00625F58">
              <w:rPr>
                <w:rFonts w:ascii="Times New Roman" w:hAnsi="Times New Roman" w:cs="Times New Roman"/>
                <w:sz w:val="20"/>
                <w:szCs w:val="20"/>
                <w:vertAlign w:val="superscript"/>
              </w:rPr>
              <w:t>2</w:t>
            </w:r>
            <w:r w:rsidRPr="00625F58">
              <w:rPr>
                <w:rFonts w:ascii="Times New Roman" w:hAnsi="Times New Roman" w:cs="Times New Roman"/>
                <w:sz w:val="20"/>
                <w:szCs w:val="20"/>
              </w:rPr>
              <w:t xml:space="preserve">) </w:t>
            </w:r>
          </w:p>
        </w:tc>
        <w:tc>
          <w:tcPr>
            <w:tcW w:w="1213" w:type="dxa"/>
            <w:tcBorders>
              <w:top w:val="nil"/>
              <w:right w:val="single" w:sz="4" w:space="0" w:color="00000A"/>
            </w:tcBorders>
            <w:shd w:val="clear" w:color="auto" w:fill="auto"/>
            <w:tcMar>
              <w:top w:w="0" w:type="dxa"/>
              <w:left w:w="108" w:type="dxa"/>
              <w:bottom w:w="0" w:type="dxa"/>
              <w:right w:w="108" w:type="dxa"/>
            </w:tcMar>
          </w:tcPr>
          <w:p w14:paraId="74A63CF6" w14:textId="77777777" w:rsidR="003A3720" w:rsidRPr="00625F58" w:rsidRDefault="003A3720" w:rsidP="006F76F9">
            <w:r w:rsidRPr="00625F58">
              <w:rPr>
                <w:rFonts w:ascii="Times New Roman" w:hAnsi="Times New Roman" w:cs="Times New Roman"/>
                <w:sz w:val="20"/>
                <w:szCs w:val="20"/>
              </w:rPr>
              <w:t>Total area</w:t>
            </w:r>
          </w:p>
        </w:tc>
        <w:tc>
          <w:tcPr>
            <w:tcW w:w="981" w:type="dxa"/>
            <w:tcBorders>
              <w:left w:val="single" w:sz="4" w:space="0" w:color="00000A"/>
            </w:tcBorders>
            <w:shd w:val="clear" w:color="auto" w:fill="auto"/>
            <w:tcMar>
              <w:top w:w="0" w:type="dxa"/>
              <w:left w:w="108" w:type="dxa"/>
              <w:bottom w:w="0" w:type="dxa"/>
              <w:right w:w="108" w:type="dxa"/>
            </w:tcMar>
          </w:tcPr>
          <w:p w14:paraId="287DA9B9"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309,867</w:t>
            </w:r>
          </w:p>
        </w:tc>
        <w:tc>
          <w:tcPr>
            <w:tcW w:w="1088" w:type="dxa"/>
            <w:shd w:val="clear" w:color="auto" w:fill="auto"/>
            <w:tcMar>
              <w:top w:w="0" w:type="dxa"/>
              <w:left w:w="108" w:type="dxa"/>
              <w:bottom w:w="0" w:type="dxa"/>
              <w:right w:w="108" w:type="dxa"/>
            </w:tcMar>
          </w:tcPr>
          <w:p w14:paraId="77E4D786"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1,294,815</w:t>
            </w:r>
          </w:p>
        </w:tc>
        <w:tc>
          <w:tcPr>
            <w:tcW w:w="883" w:type="dxa"/>
            <w:shd w:val="clear" w:color="auto" w:fill="auto"/>
            <w:tcMar>
              <w:top w:w="0" w:type="dxa"/>
              <w:left w:w="108" w:type="dxa"/>
              <w:bottom w:w="0" w:type="dxa"/>
              <w:right w:w="108" w:type="dxa"/>
            </w:tcMar>
          </w:tcPr>
          <w:p w14:paraId="212D2E29"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847,187</w:t>
            </w:r>
          </w:p>
        </w:tc>
        <w:tc>
          <w:tcPr>
            <w:tcW w:w="1118" w:type="dxa"/>
            <w:shd w:val="clear" w:color="auto" w:fill="auto"/>
            <w:tcMar>
              <w:top w:w="0" w:type="dxa"/>
              <w:left w:w="108" w:type="dxa"/>
              <w:bottom w:w="0" w:type="dxa"/>
              <w:right w:w="108" w:type="dxa"/>
            </w:tcMar>
          </w:tcPr>
          <w:p w14:paraId="5D50A5BF"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1,024,749</w:t>
            </w:r>
          </w:p>
        </w:tc>
        <w:tc>
          <w:tcPr>
            <w:tcW w:w="1070" w:type="dxa"/>
            <w:shd w:val="clear" w:color="auto" w:fill="auto"/>
            <w:tcMar>
              <w:top w:w="0" w:type="dxa"/>
              <w:left w:w="108" w:type="dxa"/>
              <w:bottom w:w="0" w:type="dxa"/>
              <w:right w:w="108" w:type="dxa"/>
            </w:tcMar>
          </w:tcPr>
          <w:p w14:paraId="79F37BD5" w14:textId="77777777" w:rsidR="003A3720" w:rsidRPr="00625F58" w:rsidRDefault="003A3720" w:rsidP="006F76F9">
            <w:pPr>
              <w:jc w:val="center"/>
            </w:pPr>
            <w:r w:rsidRPr="00625F58">
              <w:rPr>
                <w:rFonts w:ascii="Times New Roman" w:eastAsia="Times New Roman" w:hAnsi="Times New Roman" w:cs="Times New Roman"/>
                <w:iCs/>
                <w:sz w:val="20"/>
                <w:szCs w:val="20"/>
                <w:lang w:eastAsia="en-GB"/>
              </w:rPr>
              <w:t>531,073</w:t>
            </w:r>
          </w:p>
        </w:tc>
        <w:tc>
          <w:tcPr>
            <w:tcW w:w="1119" w:type="dxa"/>
            <w:tcBorders>
              <w:right w:val="single" w:sz="4" w:space="0" w:color="00000A"/>
            </w:tcBorders>
            <w:shd w:val="clear" w:color="auto" w:fill="auto"/>
            <w:tcMar>
              <w:top w:w="0" w:type="dxa"/>
              <w:left w:w="108" w:type="dxa"/>
              <w:bottom w:w="0" w:type="dxa"/>
              <w:right w:w="108" w:type="dxa"/>
            </w:tcMar>
          </w:tcPr>
          <w:p w14:paraId="0CE2865B"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1367140</w:t>
            </w:r>
          </w:p>
        </w:tc>
        <w:tc>
          <w:tcPr>
            <w:tcW w:w="1081" w:type="dxa"/>
            <w:tcBorders>
              <w:left w:val="single" w:sz="4" w:space="0" w:color="00000A"/>
            </w:tcBorders>
            <w:shd w:val="clear" w:color="auto" w:fill="auto"/>
            <w:tcMar>
              <w:top w:w="0" w:type="dxa"/>
              <w:left w:w="108" w:type="dxa"/>
              <w:bottom w:w="0" w:type="dxa"/>
              <w:right w:w="108" w:type="dxa"/>
            </w:tcMar>
            <w:vAlign w:val="center"/>
          </w:tcPr>
          <w:p w14:paraId="6948FACB" w14:textId="77777777" w:rsidR="003A3720" w:rsidRPr="00625F58" w:rsidRDefault="003A3720" w:rsidP="006F76F9">
            <w:pPr>
              <w:jc w:val="center"/>
              <w:rPr>
                <w:rFonts w:ascii="Times New Roman" w:eastAsia="Calibri" w:hAnsi="Times New Roman" w:cs="Times New Roman"/>
                <w:sz w:val="20"/>
                <w:szCs w:val="20"/>
                <w:vertAlign w:val="superscript"/>
                <w:lang w:eastAsia="en-GB"/>
              </w:rPr>
            </w:pPr>
            <w:r w:rsidRPr="00625F58">
              <w:rPr>
                <w:rFonts w:ascii="Times New Roman" w:eastAsia="Calibri" w:hAnsi="Times New Roman" w:cs="Times New Roman"/>
                <w:sz w:val="20"/>
                <w:szCs w:val="20"/>
                <w:lang w:eastAsia="en-GB"/>
              </w:rPr>
              <w:t>5,374,831</w:t>
            </w:r>
          </w:p>
          <w:p w14:paraId="2FCA1E41" w14:textId="77777777" w:rsidR="003A3720" w:rsidRPr="00625F58" w:rsidRDefault="003A3720" w:rsidP="006F76F9">
            <w:pPr>
              <w:jc w:val="center"/>
              <w:rPr>
                <w:vertAlign w:val="superscript"/>
              </w:rPr>
            </w:pPr>
            <w:r w:rsidRPr="00625F58">
              <w:rPr>
                <w:rFonts w:ascii="Times New Roman" w:eastAsia="Calibri" w:hAnsi="Times New Roman" w:cs="Times New Roman"/>
                <w:sz w:val="20"/>
                <w:szCs w:val="20"/>
                <w:lang w:eastAsia="en-GB"/>
              </w:rPr>
              <w:t>4,158,798</w:t>
            </w:r>
          </w:p>
        </w:tc>
        <w:tc>
          <w:tcPr>
            <w:tcW w:w="1267" w:type="dxa"/>
            <w:shd w:val="clear" w:color="auto" w:fill="auto"/>
            <w:tcMar>
              <w:top w:w="0" w:type="dxa"/>
              <w:left w:w="108" w:type="dxa"/>
              <w:bottom w:w="0" w:type="dxa"/>
              <w:right w:w="108" w:type="dxa"/>
            </w:tcMar>
          </w:tcPr>
          <w:p w14:paraId="77F77BA7" w14:textId="77777777" w:rsidR="003A3720" w:rsidRPr="00625F58" w:rsidRDefault="003A3720" w:rsidP="006F76F9">
            <w:pPr>
              <w:jc w:val="center"/>
            </w:pPr>
          </w:p>
        </w:tc>
      </w:tr>
      <w:tr w:rsidR="003A3720" w:rsidRPr="00625F58" w14:paraId="14738685" w14:textId="77777777" w:rsidTr="006F76F9">
        <w:tc>
          <w:tcPr>
            <w:tcW w:w="1022" w:type="dxa"/>
            <w:vMerge/>
            <w:tcBorders>
              <w:top w:val="nil"/>
            </w:tcBorders>
            <w:shd w:val="clear" w:color="auto" w:fill="auto"/>
            <w:tcMar>
              <w:top w:w="0" w:type="dxa"/>
              <w:left w:w="108" w:type="dxa"/>
              <w:bottom w:w="0" w:type="dxa"/>
              <w:right w:w="108" w:type="dxa"/>
            </w:tcMar>
          </w:tcPr>
          <w:p w14:paraId="45B6C3BA" w14:textId="77777777" w:rsidR="003A3720" w:rsidRPr="00625F58" w:rsidRDefault="003A3720" w:rsidP="006F76F9">
            <w:pPr>
              <w:rPr>
                <w:rFonts w:ascii="Times New Roman" w:hAnsi="Times New Roman" w:cs="Times New Roman"/>
                <w:sz w:val="20"/>
                <w:szCs w:val="20"/>
              </w:rPr>
            </w:pPr>
          </w:p>
        </w:tc>
        <w:tc>
          <w:tcPr>
            <w:tcW w:w="1213" w:type="dxa"/>
            <w:tcBorders>
              <w:top w:val="nil"/>
              <w:right w:val="single" w:sz="4" w:space="0" w:color="00000A"/>
            </w:tcBorders>
            <w:shd w:val="clear" w:color="auto" w:fill="auto"/>
            <w:tcMar>
              <w:top w:w="0" w:type="dxa"/>
              <w:left w:w="108" w:type="dxa"/>
              <w:bottom w:w="0" w:type="dxa"/>
              <w:right w:w="108" w:type="dxa"/>
            </w:tcMar>
          </w:tcPr>
          <w:p w14:paraId="0F7F89D2" w14:textId="77777777" w:rsidR="003A3720" w:rsidRPr="00625F58" w:rsidRDefault="003A3720" w:rsidP="006F76F9">
            <w:pPr>
              <w:rPr>
                <w:rFonts w:ascii="Times New Roman" w:hAnsi="Times New Roman" w:cs="Times New Roman"/>
                <w:sz w:val="20"/>
                <w:szCs w:val="20"/>
              </w:rPr>
            </w:pPr>
          </w:p>
        </w:tc>
        <w:tc>
          <w:tcPr>
            <w:tcW w:w="981" w:type="dxa"/>
            <w:tcBorders>
              <w:left w:val="single" w:sz="4" w:space="0" w:color="00000A"/>
            </w:tcBorders>
            <w:shd w:val="clear" w:color="auto" w:fill="auto"/>
            <w:tcMar>
              <w:top w:w="0" w:type="dxa"/>
              <w:left w:w="108" w:type="dxa"/>
              <w:bottom w:w="0" w:type="dxa"/>
              <w:right w:w="108" w:type="dxa"/>
            </w:tcMar>
          </w:tcPr>
          <w:p w14:paraId="2AD6E933"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088" w:type="dxa"/>
            <w:shd w:val="clear" w:color="auto" w:fill="auto"/>
            <w:tcMar>
              <w:top w:w="0" w:type="dxa"/>
              <w:left w:w="108" w:type="dxa"/>
              <w:bottom w:w="0" w:type="dxa"/>
              <w:right w:w="108" w:type="dxa"/>
            </w:tcMar>
          </w:tcPr>
          <w:p w14:paraId="11BD0DF1"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883" w:type="dxa"/>
            <w:shd w:val="clear" w:color="auto" w:fill="auto"/>
            <w:tcMar>
              <w:top w:w="0" w:type="dxa"/>
              <w:left w:w="108" w:type="dxa"/>
              <w:bottom w:w="0" w:type="dxa"/>
              <w:right w:w="108" w:type="dxa"/>
            </w:tcMar>
          </w:tcPr>
          <w:p w14:paraId="1CCC83CF"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118" w:type="dxa"/>
            <w:shd w:val="clear" w:color="auto" w:fill="auto"/>
            <w:tcMar>
              <w:top w:w="0" w:type="dxa"/>
              <w:left w:w="108" w:type="dxa"/>
              <w:bottom w:w="0" w:type="dxa"/>
              <w:right w:w="108" w:type="dxa"/>
            </w:tcMar>
          </w:tcPr>
          <w:p w14:paraId="6CE96AF2"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070" w:type="dxa"/>
            <w:shd w:val="clear" w:color="auto" w:fill="auto"/>
            <w:tcMar>
              <w:top w:w="0" w:type="dxa"/>
              <w:left w:w="108" w:type="dxa"/>
              <w:bottom w:w="0" w:type="dxa"/>
              <w:right w:w="108" w:type="dxa"/>
            </w:tcMar>
          </w:tcPr>
          <w:p w14:paraId="51B8C272" w14:textId="77777777" w:rsidR="003A3720" w:rsidRPr="00625F58" w:rsidRDefault="003A3720" w:rsidP="006F76F9">
            <w:pPr>
              <w:jc w:val="center"/>
              <w:rPr>
                <w:rFonts w:ascii="Times New Roman" w:eastAsia="Times New Roman" w:hAnsi="Times New Roman" w:cs="Times New Roman"/>
                <w:iCs/>
                <w:sz w:val="20"/>
                <w:szCs w:val="20"/>
                <w:lang w:eastAsia="en-GB"/>
              </w:rPr>
            </w:pPr>
          </w:p>
        </w:tc>
        <w:tc>
          <w:tcPr>
            <w:tcW w:w="1119" w:type="dxa"/>
            <w:tcBorders>
              <w:right w:val="single" w:sz="4" w:space="0" w:color="00000A"/>
            </w:tcBorders>
            <w:shd w:val="clear" w:color="auto" w:fill="auto"/>
            <w:tcMar>
              <w:top w:w="0" w:type="dxa"/>
              <w:left w:w="108" w:type="dxa"/>
              <w:bottom w:w="0" w:type="dxa"/>
              <w:right w:w="108" w:type="dxa"/>
            </w:tcMar>
          </w:tcPr>
          <w:p w14:paraId="3808650F" w14:textId="77777777" w:rsidR="003A3720" w:rsidRPr="00625F58" w:rsidRDefault="003A3720" w:rsidP="006F76F9">
            <w:pPr>
              <w:jc w:val="center"/>
              <w:rPr>
                <w:rFonts w:ascii="Times New Roman" w:eastAsia="Times New Roman" w:hAnsi="Times New Roman" w:cs="Times New Roman"/>
                <w:bCs/>
                <w:sz w:val="20"/>
                <w:szCs w:val="20"/>
                <w:lang w:eastAsia="en-GB"/>
              </w:rPr>
            </w:pPr>
          </w:p>
        </w:tc>
        <w:tc>
          <w:tcPr>
            <w:tcW w:w="1081" w:type="dxa"/>
            <w:tcBorders>
              <w:left w:val="single" w:sz="4" w:space="0" w:color="00000A"/>
            </w:tcBorders>
            <w:shd w:val="clear" w:color="auto" w:fill="auto"/>
            <w:tcMar>
              <w:top w:w="0" w:type="dxa"/>
              <w:left w:w="108" w:type="dxa"/>
              <w:bottom w:w="0" w:type="dxa"/>
              <w:right w:w="108" w:type="dxa"/>
            </w:tcMar>
            <w:vAlign w:val="center"/>
          </w:tcPr>
          <w:p w14:paraId="3519BB87" w14:textId="77777777" w:rsidR="003A3720" w:rsidRPr="00625F58" w:rsidRDefault="003A3720" w:rsidP="006F76F9">
            <w:pPr>
              <w:jc w:val="center"/>
              <w:rPr>
                <w:rFonts w:ascii="Times New Roman" w:eastAsia="Calibri" w:hAnsi="Times New Roman" w:cs="Times New Roman"/>
                <w:sz w:val="20"/>
                <w:szCs w:val="20"/>
                <w:lang w:eastAsia="en-GB"/>
              </w:rPr>
            </w:pPr>
          </w:p>
        </w:tc>
        <w:tc>
          <w:tcPr>
            <w:tcW w:w="1267" w:type="dxa"/>
            <w:shd w:val="clear" w:color="auto" w:fill="auto"/>
            <w:tcMar>
              <w:top w:w="0" w:type="dxa"/>
              <w:left w:w="108" w:type="dxa"/>
              <w:bottom w:w="0" w:type="dxa"/>
              <w:right w:w="108" w:type="dxa"/>
            </w:tcMar>
          </w:tcPr>
          <w:p w14:paraId="373C0408" w14:textId="77777777" w:rsidR="003A3720" w:rsidRPr="00625F58" w:rsidRDefault="003A3720" w:rsidP="006F76F9">
            <w:pPr>
              <w:jc w:val="center"/>
            </w:pPr>
          </w:p>
        </w:tc>
      </w:tr>
      <w:tr w:rsidR="003A3720" w:rsidRPr="00625F58" w14:paraId="5C244141" w14:textId="77777777" w:rsidTr="006F76F9">
        <w:tc>
          <w:tcPr>
            <w:tcW w:w="1022" w:type="dxa"/>
            <w:vMerge/>
            <w:tcBorders>
              <w:top w:val="nil"/>
            </w:tcBorders>
            <w:shd w:val="clear" w:color="auto" w:fill="auto"/>
            <w:tcMar>
              <w:top w:w="0" w:type="dxa"/>
              <w:left w:w="108" w:type="dxa"/>
              <w:bottom w:w="0" w:type="dxa"/>
              <w:right w:w="108" w:type="dxa"/>
            </w:tcMar>
          </w:tcPr>
          <w:p w14:paraId="2EFC471A" w14:textId="77777777" w:rsidR="003A3720" w:rsidRPr="00625F58" w:rsidRDefault="003A3720" w:rsidP="006F76F9">
            <w:pPr>
              <w:rPr>
                <w:rFonts w:ascii="Times New Roman" w:hAnsi="Times New Roman" w:cs="Times New Roman"/>
                <w:sz w:val="20"/>
                <w:szCs w:val="20"/>
              </w:rPr>
            </w:pPr>
          </w:p>
        </w:tc>
        <w:tc>
          <w:tcPr>
            <w:tcW w:w="1213" w:type="dxa"/>
            <w:tcBorders>
              <w:top w:val="nil"/>
              <w:right w:val="single" w:sz="4" w:space="0" w:color="00000A"/>
            </w:tcBorders>
            <w:shd w:val="clear" w:color="auto" w:fill="auto"/>
            <w:tcMar>
              <w:top w:w="0" w:type="dxa"/>
              <w:left w:w="108" w:type="dxa"/>
              <w:bottom w:w="0" w:type="dxa"/>
              <w:right w:w="108" w:type="dxa"/>
            </w:tcMar>
          </w:tcPr>
          <w:p w14:paraId="1F407F6C" w14:textId="77777777" w:rsidR="003A3720" w:rsidRPr="00625F58" w:rsidRDefault="003A3720" w:rsidP="006F76F9">
            <w:pPr>
              <w:rPr>
                <w:rFonts w:ascii="Times New Roman" w:hAnsi="Times New Roman" w:cs="Times New Roman"/>
                <w:sz w:val="20"/>
                <w:szCs w:val="20"/>
              </w:rPr>
            </w:pPr>
            <w:r w:rsidRPr="00625F58">
              <w:rPr>
                <w:rFonts w:ascii="Times New Roman" w:hAnsi="Times New Roman" w:cs="Times New Roman"/>
                <w:sz w:val="20"/>
                <w:szCs w:val="20"/>
              </w:rPr>
              <w:t>Annual area</w:t>
            </w:r>
          </w:p>
        </w:tc>
        <w:tc>
          <w:tcPr>
            <w:tcW w:w="981" w:type="dxa"/>
            <w:tcBorders>
              <w:left w:val="single" w:sz="4" w:space="0" w:color="00000A"/>
            </w:tcBorders>
            <w:shd w:val="clear" w:color="auto" w:fill="auto"/>
            <w:tcMar>
              <w:top w:w="0" w:type="dxa"/>
              <w:left w:w="108" w:type="dxa"/>
              <w:bottom w:w="0" w:type="dxa"/>
              <w:right w:w="108" w:type="dxa"/>
            </w:tcMar>
          </w:tcPr>
          <w:p w14:paraId="086516F3"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103,289</w:t>
            </w:r>
          </w:p>
        </w:tc>
        <w:tc>
          <w:tcPr>
            <w:tcW w:w="1088" w:type="dxa"/>
            <w:shd w:val="clear" w:color="auto" w:fill="auto"/>
            <w:tcMar>
              <w:top w:w="0" w:type="dxa"/>
              <w:left w:w="108" w:type="dxa"/>
              <w:bottom w:w="0" w:type="dxa"/>
              <w:right w:w="108" w:type="dxa"/>
            </w:tcMar>
          </w:tcPr>
          <w:p w14:paraId="292E0B0C"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258,963</w:t>
            </w:r>
          </w:p>
        </w:tc>
        <w:tc>
          <w:tcPr>
            <w:tcW w:w="883" w:type="dxa"/>
            <w:shd w:val="clear" w:color="auto" w:fill="auto"/>
            <w:tcMar>
              <w:top w:w="0" w:type="dxa"/>
              <w:left w:w="108" w:type="dxa"/>
              <w:bottom w:w="0" w:type="dxa"/>
              <w:right w:w="108" w:type="dxa"/>
            </w:tcMar>
          </w:tcPr>
          <w:p w14:paraId="666A899F"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211,797</w:t>
            </w:r>
          </w:p>
        </w:tc>
        <w:tc>
          <w:tcPr>
            <w:tcW w:w="1118" w:type="dxa"/>
            <w:shd w:val="clear" w:color="auto" w:fill="auto"/>
            <w:tcMar>
              <w:top w:w="0" w:type="dxa"/>
              <w:left w:w="108" w:type="dxa"/>
              <w:bottom w:w="0" w:type="dxa"/>
              <w:right w:w="108" w:type="dxa"/>
            </w:tcMar>
          </w:tcPr>
          <w:p w14:paraId="202E96CB"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34,1583</w:t>
            </w:r>
          </w:p>
        </w:tc>
        <w:tc>
          <w:tcPr>
            <w:tcW w:w="1070" w:type="dxa"/>
            <w:shd w:val="clear" w:color="auto" w:fill="auto"/>
            <w:tcMar>
              <w:top w:w="0" w:type="dxa"/>
              <w:left w:w="108" w:type="dxa"/>
              <w:bottom w:w="0" w:type="dxa"/>
              <w:right w:w="108" w:type="dxa"/>
            </w:tcMar>
          </w:tcPr>
          <w:p w14:paraId="365BB127" w14:textId="77777777" w:rsidR="003A3720" w:rsidRPr="00625F58" w:rsidRDefault="003A3720" w:rsidP="006F76F9">
            <w:pPr>
              <w:jc w:val="center"/>
              <w:rPr>
                <w:rFonts w:ascii="Times New Roman" w:eastAsia="Times New Roman" w:hAnsi="Times New Roman" w:cs="Times New Roman"/>
                <w:iCs/>
                <w:sz w:val="20"/>
                <w:szCs w:val="20"/>
                <w:lang w:eastAsia="en-GB"/>
              </w:rPr>
            </w:pPr>
            <w:r w:rsidRPr="00625F58">
              <w:rPr>
                <w:rFonts w:ascii="Times New Roman" w:eastAsia="Times New Roman" w:hAnsi="Times New Roman" w:cs="Times New Roman"/>
                <w:iCs/>
                <w:sz w:val="20"/>
                <w:szCs w:val="20"/>
                <w:lang w:eastAsia="en-GB"/>
              </w:rPr>
              <w:t>17,7024</w:t>
            </w:r>
          </w:p>
        </w:tc>
        <w:tc>
          <w:tcPr>
            <w:tcW w:w="1119" w:type="dxa"/>
            <w:tcBorders>
              <w:right w:val="single" w:sz="4" w:space="0" w:color="00000A"/>
            </w:tcBorders>
            <w:shd w:val="clear" w:color="auto" w:fill="auto"/>
            <w:tcMar>
              <w:top w:w="0" w:type="dxa"/>
              <w:left w:w="108" w:type="dxa"/>
              <w:bottom w:w="0" w:type="dxa"/>
              <w:right w:w="108" w:type="dxa"/>
            </w:tcMar>
          </w:tcPr>
          <w:p w14:paraId="76A802FA" w14:textId="77777777" w:rsidR="003A3720" w:rsidRPr="00625F58" w:rsidRDefault="003A3720" w:rsidP="006F76F9">
            <w:pPr>
              <w:jc w:val="center"/>
              <w:rPr>
                <w:rFonts w:ascii="Times New Roman" w:eastAsia="Times New Roman" w:hAnsi="Times New Roman" w:cs="Times New Roman"/>
                <w:bCs/>
                <w:sz w:val="20"/>
                <w:szCs w:val="20"/>
                <w:lang w:eastAsia="en-GB"/>
              </w:rPr>
            </w:pPr>
            <w:r w:rsidRPr="00625F58">
              <w:rPr>
                <w:rFonts w:ascii="Times New Roman" w:eastAsia="Times New Roman" w:hAnsi="Times New Roman" w:cs="Times New Roman"/>
                <w:bCs/>
                <w:sz w:val="20"/>
                <w:szCs w:val="20"/>
                <w:lang w:eastAsia="en-GB"/>
              </w:rPr>
              <w:t>34,1785</w:t>
            </w:r>
          </w:p>
        </w:tc>
        <w:tc>
          <w:tcPr>
            <w:tcW w:w="1081" w:type="dxa"/>
            <w:tcBorders>
              <w:left w:val="single" w:sz="4" w:space="0" w:color="00000A"/>
            </w:tcBorders>
            <w:shd w:val="clear" w:color="auto" w:fill="auto"/>
            <w:tcMar>
              <w:top w:w="0" w:type="dxa"/>
              <w:left w:w="108" w:type="dxa"/>
              <w:bottom w:w="0" w:type="dxa"/>
              <w:right w:w="108" w:type="dxa"/>
            </w:tcMar>
            <w:vAlign w:val="center"/>
          </w:tcPr>
          <w:p w14:paraId="26871A8C" w14:textId="77777777" w:rsidR="003A3720" w:rsidRPr="00625F58" w:rsidRDefault="003A3720" w:rsidP="006F76F9">
            <w:pPr>
              <w:jc w:val="center"/>
              <w:rPr>
                <w:rFonts w:ascii="Times New Roman" w:eastAsia="Calibri" w:hAnsi="Times New Roman" w:cs="Times New Roman"/>
                <w:sz w:val="20"/>
                <w:szCs w:val="20"/>
                <w:vertAlign w:val="superscript"/>
                <w:lang w:eastAsia="en-GB"/>
              </w:rPr>
            </w:pPr>
            <w:r w:rsidRPr="00625F58">
              <w:rPr>
                <w:rFonts w:ascii="Times New Roman" w:eastAsia="Calibri" w:hAnsi="Times New Roman" w:cs="Times New Roman"/>
                <w:sz w:val="20"/>
                <w:szCs w:val="20"/>
                <w:lang w:eastAsia="en-GB"/>
              </w:rPr>
              <w:t>24,4311</w:t>
            </w:r>
          </w:p>
        </w:tc>
        <w:tc>
          <w:tcPr>
            <w:tcW w:w="1267" w:type="dxa"/>
            <w:shd w:val="clear" w:color="auto" w:fill="auto"/>
            <w:tcMar>
              <w:top w:w="0" w:type="dxa"/>
              <w:left w:w="108" w:type="dxa"/>
              <w:bottom w:w="0" w:type="dxa"/>
              <w:right w:w="108" w:type="dxa"/>
            </w:tcMar>
          </w:tcPr>
          <w:p w14:paraId="28122BBA" w14:textId="77777777" w:rsidR="003A3720" w:rsidRPr="00625F58" w:rsidRDefault="003A3720" w:rsidP="006F76F9">
            <w:pPr>
              <w:jc w:val="center"/>
            </w:pPr>
          </w:p>
        </w:tc>
      </w:tr>
      <w:tr w:rsidR="003A3720" w:rsidRPr="00625F58" w14:paraId="40661B6A" w14:textId="77777777" w:rsidTr="006F76F9">
        <w:tc>
          <w:tcPr>
            <w:tcW w:w="1022" w:type="dxa"/>
            <w:vMerge/>
            <w:tcBorders>
              <w:top w:val="nil"/>
            </w:tcBorders>
            <w:shd w:val="clear" w:color="auto" w:fill="auto"/>
            <w:tcMar>
              <w:top w:w="0" w:type="dxa"/>
              <w:left w:w="108" w:type="dxa"/>
              <w:bottom w:w="0" w:type="dxa"/>
              <w:right w:w="108" w:type="dxa"/>
            </w:tcMar>
          </w:tcPr>
          <w:p w14:paraId="75E84DC6" w14:textId="77777777" w:rsidR="003A3720" w:rsidRPr="00625F58" w:rsidRDefault="003A3720" w:rsidP="006F76F9">
            <w:pPr>
              <w:jc w:val="both"/>
            </w:pPr>
          </w:p>
        </w:tc>
        <w:tc>
          <w:tcPr>
            <w:tcW w:w="1213" w:type="dxa"/>
            <w:tcBorders>
              <w:top w:val="nil"/>
              <w:right w:val="single" w:sz="4" w:space="0" w:color="00000A"/>
            </w:tcBorders>
            <w:shd w:val="clear" w:color="auto" w:fill="auto"/>
            <w:tcMar>
              <w:top w:w="0" w:type="dxa"/>
              <w:left w:w="108" w:type="dxa"/>
              <w:bottom w:w="0" w:type="dxa"/>
              <w:right w:w="108" w:type="dxa"/>
            </w:tcMar>
          </w:tcPr>
          <w:p w14:paraId="6BFCAC19" w14:textId="77777777" w:rsidR="003A3720" w:rsidRPr="00625F58" w:rsidRDefault="003A3720" w:rsidP="006F76F9">
            <w:pPr>
              <w:jc w:val="both"/>
              <w:rPr>
                <w:rFonts w:ascii="Times New Roman" w:hAnsi="Times New Roman" w:cs="Times New Roman"/>
                <w:sz w:val="20"/>
                <w:szCs w:val="20"/>
              </w:rPr>
            </w:pPr>
          </w:p>
        </w:tc>
        <w:tc>
          <w:tcPr>
            <w:tcW w:w="981" w:type="dxa"/>
            <w:tcBorders>
              <w:left w:val="single" w:sz="4" w:space="0" w:color="00000A"/>
            </w:tcBorders>
            <w:shd w:val="clear" w:color="auto" w:fill="auto"/>
            <w:tcMar>
              <w:top w:w="0" w:type="dxa"/>
              <w:left w:w="108" w:type="dxa"/>
              <w:bottom w:w="0" w:type="dxa"/>
              <w:right w:w="108" w:type="dxa"/>
            </w:tcMar>
            <w:vAlign w:val="center"/>
          </w:tcPr>
          <w:p w14:paraId="57632EFF"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088" w:type="dxa"/>
            <w:shd w:val="clear" w:color="auto" w:fill="auto"/>
            <w:tcMar>
              <w:top w:w="0" w:type="dxa"/>
              <w:left w:w="108" w:type="dxa"/>
              <w:bottom w:w="0" w:type="dxa"/>
              <w:right w:w="108" w:type="dxa"/>
            </w:tcMar>
          </w:tcPr>
          <w:p w14:paraId="130EC67B" w14:textId="77777777" w:rsidR="003A3720" w:rsidRPr="00625F58" w:rsidRDefault="003A3720" w:rsidP="006F76F9">
            <w:pPr>
              <w:jc w:val="center"/>
              <w:rPr>
                <w:rFonts w:ascii="Times New Roman" w:eastAsia="Times New Roman" w:hAnsi="Times New Roman" w:cs="Times New Roman"/>
                <w:iCs/>
                <w:sz w:val="20"/>
                <w:szCs w:val="20"/>
                <w:lang w:eastAsia="en-GB"/>
              </w:rPr>
            </w:pPr>
          </w:p>
        </w:tc>
        <w:tc>
          <w:tcPr>
            <w:tcW w:w="883" w:type="dxa"/>
            <w:shd w:val="clear" w:color="auto" w:fill="auto"/>
            <w:tcMar>
              <w:top w:w="0" w:type="dxa"/>
              <w:left w:w="108" w:type="dxa"/>
              <w:bottom w:w="0" w:type="dxa"/>
              <w:right w:w="108" w:type="dxa"/>
            </w:tcMar>
            <w:vAlign w:val="center"/>
          </w:tcPr>
          <w:p w14:paraId="38E107FE" w14:textId="77777777" w:rsidR="003A3720" w:rsidRPr="00625F58" w:rsidRDefault="003A3720" w:rsidP="006F76F9">
            <w:pPr>
              <w:jc w:val="center"/>
              <w:rPr>
                <w:rFonts w:ascii="Times New Roman" w:eastAsia="Times New Roman" w:hAnsi="Times New Roman" w:cs="Times New Roman"/>
                <w:iCs/>
                <w:sz w:val="20"/>
                <w:szCs w:val="20"/>
                <w:lang w:eastAsia="en-GB"/>
              </w:rPr>
            </w:pPr>
          </w:p>
        </w:tc>
        <w:tc>
          <w:tcPr>
            <w:tcW w:w="1118" w:type="dxa"/>
            <w:shd w:val="clear" w:color="auto" w:fill="auto"/>
            <w:tcMar>
              <w:top w:w="0" w:type="dxa"/>
              <w:left w:w="108" w:type="dxa"/>
              <w:bottom w:w="0" w:type="dxa"/>
              <w:right w:w="108" w:type="dxa"/>
            </w:tcMar>
            <w:vAlign w:val="center"/>
          </w:tcPr>
          <w:p w14:paraId="2BFC74AA"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070" w:type="dxa"/>
            <w:shd w:val="clear" w:color="auto" w:fill="auto"/>
            <w:tcMar>
              <w:top w:w="0" w:type="dxa"/>
              <w:left w:w="108" w:type="dxa"/>
              <w:bottom w:w="0" w:type="dxa"/>
              <w:right w:w="108" w:type="dxa"/>
            </w:tcMar>
            <w:vAlign w:val="center"/>
          </w:tcPr>
          <w:p w14:paraId="0F146BFC"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119" w:type="dxa"/>
            <w:tcBorders>
              <w:right w:val="single" w:sz="4" w:space="0" w:color="00000A"/>
            </w:tcBorders>
            <w:shd w:val="clear" w:color="auto" w:fill="auto"/>
            <w:tcMar>
              <w:top w:w="0" w:type="dxa"/>
              <w:left w:w="108" w:type="dxa"/>
              <w:bottom w:w="0" w:type="dxa"/>
              <w:right w:w="108" w:type="dxa"/>
            </w:tcMar>
            <w:vAlign w:val="center"/>
          </w:tcPr>
          <w:p w14:paraId="1D7F6E4D" w14:textId="77777777" w:rsidR="003A3720" w:rsidRPr="00625F58" w:rsidRDefault="003A3720" w:rsidP="006F76F9">
            <w:pPr>
              <w:jc w:val="center"/>
              <w:rPr>
                <w:rFonts w:ascii="Times New Roman" w:eastAsia="Times New Roman" w:hAnsi="Times New Roman" w:cs="Times New Roman"/>
                <w:bCs/>
                <w:sz w:val="20"/>
                <w:szCs w:val="20"/>
                <w:lang w:eastAsia="en-GB"/>
              </w:rPr>
            </w:pPr>
          </w:p>
        </w:tc>
        <w:tc>
          <w:tcPr>
            <w:tcW w:w="1081" w:type="dxa"/>
            <w:tcBorders>
              <w:left w:val="single" w:sz="4" w:space="0" w:color="00000A"/>
            </w:tcBorders>
            <w:shd w:val="clear" w:color="auto" w:fill="auto"/>
            <w:tcMar>
              <w:top w:w="0" w:type="dxa"/>
              <w:left w:w="108" w:type="dxa"/>
              <w:bottom w:w="0" w:type="dxa"/>
              <w:right w:w="108" w:type="dxa"/>
            </w:tcMar>
            <w:vAlign w:val="center"/>
          </w:tcPr>
          <w:p w14:paraId="3CB74BF3"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267" w:type="dxa"/>
            <w:shd w:val="clear" w:color="auto" w:fill="auto"/>
            <w:tcMar>
              <w:top w:w="0" w:type="dxa"/>
              <w:left w:w="108" w:type="dxa"/>
              <w:bottom w:w="0" w:type="dxa"/>
              <w:right w:w="108" w:type="dxa"/>
            </w:tcMar>
            <w:vAlign w:val="center"/>
          </w:tcPr>
          <w:p w14:paraId="5EE98A28" w14:textId="77777777" w:rsidR="003A3720" w:rsidRPr="00625F58" w:rsidRDefault="003A3720" w:rsidP="006F76F9">
            <w:pPr>
              <w:jc w:val="center"/>
              <w:rPr>
                <w:rFonts w:ascii="Times New Roman" w:eastAsia="Calibri" w:hAnsi="Times New Roman" w:cs="Times New Roman"/>
                <w:sz w:val="20"/>
                <w:szCs w:val="20"/>
                <w:lang w:eastAsia="en-GB"/>
              </w:rPr>
            </w:pPr>
          </w:p>
        </w:tc>
      </w:tr>
      <w:tr w:rsidR="003A3720" w:rsidRPr="00625F58" w14:paraId="6F131B25" w14:textId="77777777" w:rsidTr="006F76F9">
        <w:tc>
          <w:tcPr>
            <w:tcW w:w="1022" w:type="dxa"/>
            <w:vMerge/>
            <w:tcBorders>
              <w:top w:val="nil"/>
              <w:bottom w:val="nil"/>
            </w:tcBorders>
            <w:shd w:val="clear" w:color="auto" w:fill="auto"/>
            <w:tcMar>
              <w:top w:w="0" w:type="dxa"/>
              <w:left w:w="108" w:type="dxa"/>
              <w:bottom w:w="0" w:type="dxa"/>
              <w:right w:w="108" w:type="dxa"/>
            </w:tcMar>
          </w:tcPr>
          <w:p w14:paraId="28368727" w14:textId="77777777" w:rsidR="003A3720" w:rsidRPr="00625F58" w:rsidRDefault="003A3720" w:rsidP="006F76F9">
            <w:pPr>
              <w:jc w:val="both"/>
            </w:pPr>
          </w:p>
        </w:tc>
        <w:tc>
          <w:tcPr>
            <w:tcW w:w="1213" w:type="dxa"/>
            <w:tcBorders>
              <w:top w:val="nil"/>
              <w:bottom w:val="nil"/>
              <w:right w:val="single" w:sz="4" w:space="0" w:color="00000A"/>
            </w:tcBorders>
            <w:shd w:val="clear" w:color="auto" w:fill="auto"/>
            <w:tcMar>
              <w:top w:w="0" w:type="dxa"/>
              <w:left w:w="108" w:type="dxa"/>
              <w:bottom w:w="0" w:type="dxa"/>
              <w:right w:w="108" w:type="dxa"/>
            </w:tcMar>
          </w:tcPr>
          <w:p w14:paraId="4EEBAE3F" w14:textId="77777777" w:rsidR="003A3720" w:rsidRPr="00625F58" w:rsidRDefault="003A3720" w:rsidP="006F76F9">
            <w:pPr>
              <w:jc w:val="both"/>
            </w:pPr>
            <w:r w:rsidRPr="00625F58">
              <w:rPr>
                <w:rFonts w:ascii="Times New Roman" w:hAnsi="Times New Roman" w:cs="Times New Roman"/>
                <w:sz w:val="20"/>
                <w:szCs w:val="20"/>
              </w:rPr>
              <w:t xml:space="preserve">Mean patch size </w:t>
            </w:r>
            <w:r w:rsidRPr="00625F58">
              <w:rPr>
                <w:rFonts w:ascii="Times New Roman" w:eastAsia="Times New Roman" w:hAnsi="Times New Roman" w:cs="Times New Roman"/>
                <w:sz w:val="20"/>
                <w:szCs w:val="20"/>
                <w:lang w:eastAsia="en-GB"/>
              </w:rPr>
              <w:t>±</w:t>
            </w:r>
            <w:r w:rsidRPr="00625F58">
              <w:rPr>
                <w:rFonts w:ascii="Times New Roman" w:hAnsi="Times New Roman" w:cs="Times New Roman"/>
                <w:sz w:val="20"/>
                <w:szCs w:val="20"/>
              </w:rPr>
              <w:t>SE</w:t>
            </w:r>
          </w:p>
        </w:tc>
        <w:tc>
          <w:tcPr>
            <w:tcW w:w="981" w:type="dxa"/>
            <w:tcBorders>
              <w:left w:val="single" w:sz="4" w:space="0" w:color="00000A"/>
              <w:bottom w:val="nil"/>
            </w:tcBorders>
            <w:shd w:val="clear" w:color="auto" w:fill="auto"/>
            <w:tcMar>
              <w:top w:w="0" w:type="dxa"/>
              <w:left w:w="108" w:type="dxa"/>
              <w:bottom w:w="0" w:type="dxa"/>
              <w:right w:w="108" w:type="dxa"/>
            </w:tcMar>
            <w:vAlign w:val="center"/>
          </w:tcPr>
          <w:p w14:paraId="428880E0"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5,080</w:t>
            </w:r>
          </w:p>
          <w:p w14:paraId="09C4F0FD"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±1778</w:t>
            </w:r>
          </w:p>
          <w:p w14:paraId="635DC4B1" w14:textId="77777777" w:rsidR="003A3720" w:rsidRPr="00625F58" w:rsidRDefault="003A3720" w:rsidP="006F76F9">
            <w:pPr>
              <w:jc w:val="center"/>
            </w:pPr>
          </w:p>
        </w:tc>
        <w:tc>
          <w:tcPr>
            <w:tcW w:w="1088" w:type="dxa"/>
            <w:tcBorders>
              <w:bottom w:val="nil"/>
            </w:tcBorders>
            <w:shd w:val="clear" w:color="auto" w:fill="auto"/>
            <w:tcMar>
              <w:top w:w="0" w:type="dxa"/>
              <w:left w:w="108" w:type="dxa"/>
              <w:bottom w:w="0" w:type="dxa"/>
              <w:right w:w="108" w:type="dxa"/>
            </w:tcMar>
          </w:tcPr>
          <w:p w14:paraId="1F4FAFA4" w14:textId="77777777" w:rsidR="003A3720" w:rsidRPr="00625F58" w:rsidRDefault="003A3720" w:rsidP="006F76F9">
            <w:pPr>
              <w:jc w:val="center"/>
            </w:pPr>
            <w:r w:rsidRPr="00625F58">
              <w:rPr>
                <w:rFonts w:ascii="Times New Roman" w:eastAsia="Times New Roman" w:hAnsi="Times New Roman" w:cs="Times New Roman"/>
                <w:iCs/>
                <w:sz w:val="20"/>
                <w:szCs w:val="20"/>
                <w:lang w:eastAsia="en-GB"/>
              </w:rPr>
              <w:t>1,808</w:t>
            </w:r>
          </w:p>
          <w:p w14:paraId="4F11EB49"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±80</w:t>
            </w:r>
          </w:p>
        </w:tc>
        <w:tc>
          <w:tcPr>
            <w:tcW w:w="883" w:type="dxa"/>
            <w:tcBorders>
              <w:bottom w:val="nil"/>
            </w:tcBorders>
            <w:shd w:val="clear" w:color="auto" w:fill="auto"/>
            <w:tcMar>
              <w:top w:w="0" w:type="dxa"/>
              <w:left w:w="108" w:type="dxa"/>
              <w:bottom w:w="0" w:type="dxa"/>
              <w:right w:w="108" w:type="dxa"/>
            </w:tcMar>
            <w:vAlign w:val="center"/>
          </w:tcPr>
          <w:p w14:paraId="7D7C3F02" w14:textId="77777777" w:rsidR="003A3720" w:rsidRPr="00625F58" w:rsidRDefault="003A3720" w:rsidP="006F76F9">
            <w:pPr>
              <w:jc w:val="center"/>
            </w:pPr>
            <w:r w:rsidRPr="00625F58">
              <w:rPr>
                <w:rFonts w:ascii="Times New Roman" w:eastAsia="Times New Roman" w:hAnsi="Times New Roman" w:cs="Times New Roman"/>
                <w:iCs/>
                <w:sz w:val="20"/>
                <w:szCs w:val="20"/>
                <w:lang w:eastAsia="en-GB"/>
              </w:rPr>
              <w:t>1,526</w:t>
            </w:r>
          </w:p>
          <w:p w14:paraId="228A3AB8"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w:t>
            </w:r>
            <w:r w:rsidRPr="00625F58">
              <w:rPr>
                <w:rFonts w:ascii="Times New Roman" w:eastAsia="Times New Roman" w:hAnsi="Times New Roman" w:cs="Times New Roman"/>
                <w:iCs/>
                <w:sz w:val="20"/>
                <w:szCs w:val="20"/>
                <w:lang w:eastAsia="en-GB"/>
              </w:rPr>
              <w:t>85</w:t>
            </w:r>
          </w:p>
          <w:p w14:paraId="2BFB7C96" w14:textId="77777777" w:rsidR="003A3720" w:rsidRPr="00625F58" w:rsidRDefault="003A3720" w:rsidP="006F76F9">
            <w:pPr>
              <w:jc w:val="center"/>
            </w:pPr>
          </w:p>
        </w:tc>
        <w:tc>
          <w:tcPr>
            <w:tcW w:w="1118" w:type="dxa"/>
            <w:tcBorders>
              <w:bottom w:val="nil"/>
            </w:tcBorders>
            <w:shd w:val="clear" w:color="auto" w:fill="auto"/>
            <w:tcMar>
              <w:top w:w="0" w:type="dxa"/>
              <w:left w:w="108" w:type="dxa"/>
              <w:bottom w:w="0" w:type="dxa"/>
              <w:right w:w="108" w:type="dxa"/>
            </w:tcMar>
            <w:vAlign w:val="center"/>
          </w:tcPr>
          <w:p w14:paraId="69E754DD"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2,057</w:t>
            </w:r>
          </w:p>
          <w:p w14:paraId="6AAFA256"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±94</w:t>
            </w:r>
          </w:p>
          <w:p w14:paraId="6EF3A757" w14:textId="77777777" w:rsidR="003A3720" w:rsidRPr="00625F58" w:rsidRDefault="003A3720" w:rsidP="006F76F9">
            <w:pPr>
              <w:jc w:val="center"/>
            </w:pPr>
          </w:p>
        </w:tc>
        <w:tc>
          <w:tcPr>
            <w:tcW w:w="1070" w:type="dxa"/>
            <w:tcBorders>
              <w:bottom w:val="nil"/>
            </w:tcBorders>
            <w:shd w:val="clear" w:color="auto" w:fill="auto"/>
            <w:tcMar>
              <w:top w:w="0" w:type="dxa"/>
              <w:left w:w="108" w:type="dxa"/>
              <w:bottom w:w="0" w:type="dxa"/>
              <w:right w:w="108" w:type="dxa"/>
            </w:tcMar>
            <w:vAlign w:val="center"/>
          </w:tcPr>
          <w:p w14:paraId="1467963D"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2,642</w:t>
            </w:r>
          </w:p>
          <w:p w14:paraId="64FB6FB6"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±284</w:t>
            </w:r>
          </w:p>
          <w:p w14:paraId="1CF972E2" w14:textId="77777777" w:rsidR="003A3720" w:rsidRPr="00625F58" w:rsidRDefault="003A3720" w:rsidP="006F76F9">
            <w:pPr>
              <w:jc w:val="center"/>
            </w:pPr>
          </w:p>
        </w:tc>
        <w:tc>
          <w:tcPr>
            <w:tcW w:w="1119" w:type="dxa"/>
            <w:tcBorders>
              <w:bottom w:val="nil"/>
              <w:right w:val="single" w:sz="4" w:space="0" w:color="00000A"/>
            </w:tcBorders>
            <w:shd w:val="clear" w:color="auto" w:fill="auto"/>
            <w:tcMar>
              <w:top w:w="0" w:type="dxa"/>
              <w:left w:w="108" w:type="dxa"/>
              <w:bottom w:w="0" w:type="dxa"/>
              <w:right w:w="108" w:type="dxa"/>
            </w:tcMar>
            <w:vAlign w:val="center"/>
          </w:tcPr>
          <w:p w14:paraId="28B912CF"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2,578</w:t>
            </w:r>
          </w:p>
          <w:p w14:paraId="5F134658"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w:t>
            </w:r>
            <w:r w:rsidRPr="00625F58">
              <w:rPr>
                <w:rFonts w:ascii="Times New Roman" w:eastAsia="Times New Roman" w:hAnsi="Times New Roman" w:cs="Times New Roman"/>
                <w:bCs/>
                <w:sz w:val="20"/>
                <w:szCs w:val="20"/>
                <w:lang w:eastAsia="en-GB"/>
              </w:rPr>
              <w:t>141</w:t>
            </w:r>
          </w:p>
          <w:p w14:paraId="017E9230" w14:textId="77777777" w:rsidR="003A3720" w:rsidRPr="00625F58" w:rsidRDefault="003A3720" w:rsidP="006F76F9">
            <w:pPr>
              <w:jc w:val="center"/>
            </w:pPr>
          </w:p>
        </w:tc>
        <w:tc>
          <w:tcPr>
            <w:tcW w:w="1081" w:type="dxa"/>
            <w:tcBorders>
              <w:left w:val="single" w:sz="4" w:space="0" w:color="00000A"/>
              <w:bottom w:val="nil"/>
            </w:tcBorders>
            <w:shd w:val="clear" w:color="auto" w:fill="auto"/>
            <w:tcMar>
              <w:top w:w="0" w:type="dxa"/>
              <w:left w:w="108" w:type="dxa"/>
              <w:bottom w:w="0" w:type="dxa"/>
              <w:right w:w="108" w:type="dxa"/>
            </w:tcMar>
            <w:vAlign w:val="center"/>
          </w:tcPr>
          <w:p w14:paraId="6FBAE459"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w:t>
            </w:r>
          </w:p>
          <w:p w14:paraId="6FD70AEA" w14:textId="77777777" w:rsidR="003A3720" w:rsidRPr="00625F58" w:rsidRDefault="003A3720" w:rsidP="006F76F9">
            <w:pPr>
              <w:jc w:val="center"/>
            </w:pPr>
          </w:p>
        </w:tc>
        <w:tc>
          <w:tcPr>
            <w:tcW w:w="1267" w:type="dxa"/>
            <w:tcBorders>
              <w:bottom w:val="nil"/>
            </w:tcBorders>
            <w:shd w:val="clear" w:color="auto" w:fill="auto"/>
            <w:tcMar>
              <w:top w:w="0" w:type="dxa"/>
              <w:left w:w="108" w:type="dxa"/>
              <w:bottom w:w="0" w:type="dxa"/>
              <w:right w:w="108" w:type="dxa"/>
            </w:tcMar>
            <w:vAlign w:val="center"/>
          </w:tcPr>
          <w:p w14:paraId="27CA9DA2" w14:textId="77777777" w:rsidR="003A3720" w:rsidRPr="00625F58" w:rsidRDefault="003A3720" w:rsidP="006F76F9">
            <w:pPr>
              <w:jc w:val="center"/>
            </w:pPr>
            <w:r w:rsidRPr="00625F58">
              <w:rPr>
                <w:rFonts w:ascii="Times New Roman" w:eastAsia="Calibri" w:hAnsi="Times New Roman" w:cs="Times New Roman"/>
                <w:sz w:val="20"/>
                <w:szCs w:val="20"/>
                <w:lang w:eastAsia="en-GB"/>
              </w:rPr>
              <w:t>2098</w:t>
            </w:r>
          </w:p>
          <w:p w14:paraId="230E159D"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w:t>
            </w:r>
            <w:r w:rsidRPr="00625F58">
              <w:rPr>
                <w:rFonts w:ascii="Times New Roman" w:eastAsia="Calibri" w:hAnsi="Times New Roman" w:cs="Times New Roman"/>
                <w:sz w:val="20"/>
                <w:szCs w:val="20"/>
                <w:lang w:eastAsia="en-GB"/>
              </w:rPr>
              <w:t>67</w:t>
            </w:r>
          </w:p>
          <w:p w14:paraId="6E5FDFA1" w14:textId="77777777" w:rsidR="003A3720" w:rsidRPr="00625F58" w:rsidRDefault="003A3720" w:rsidP="006F76F9">
            <w:pPr>
              <w:jc w:val="center"/>
            </w:pPr>
          </w:p>
        </w:tc>
      </w:tr>
      <w:tr w:rsidR="003A3720" w:rsidRPr="00625F58" w14:paraId="0F980C88" w14:textId="77777777" w:rsidTr="006F76F9">
        <w:tc>
          <w:tcPr>
            <w:tcW w:w="1022" w:type="dxa"/>
            <w:tcBorders>
              <w:top w:val="nil"/>
            </w:tcBorders>
            <w:shd w:val="clear" w:color="auto" w:fill="auto"/>
            <w:tcMar>
              <w:top w:w="0" w:type="dxa"/>
              <w:left w:w="108" w:type="dxa"/>
              <w:bottom w:w="0" w:type="dxa"/>
              <w:right w:w="108" w:type="dxa"/>
            </w:tcMar>
          </w:tcPr>
          <w:p w14:paraId="4B055DCA" w14:textId="77777777" w:rsidR="003A3720" w:rsidRPr="00625F58" w:rsidRDefault="003A3720" w:rsidP="006F76F9">
            <w:pPr>
              <w:jc w:val="both"/>
            </w:pPr>
          </w:p>
        </w:tc>
        <w:tc>
          <w:tcPr>
            <w:tcW w:w="1213" w:type="dxa"/>
            <w:tcBorders>
              <w:top w:val="nil"/>
              <w:right w:val="single" w:sz="4" w:space="0" w:color="00000A"/>
            </w:tcBorders>
            <w:shd w:val="clear" w:color="auto" w:fill="auto"/>
            <w:tcMar>
              <w:top w:w="0" w:type="dxa"/>
              <w:left w:w="108" w:type="dxa"/>
              <w:bottom w:w="0" w:type="dxa"/>
              <w:right w:w="108" w:type="dxa"/>
            </w:tcMar>
            <w:vAlign w:val="center"/>
          </w:tcPr>
          <w:p w14:paraId="27EBF842" w14:textId="77777777" w:rsidR="003A3720" w:rsidRPr="00625F58" w:rsidRDefault="003A3720" w:rsidP="006F76F9">
            <w:r w:rsidRPr="00625F58">
              <w:rPr>
                <w:rFonts w:ascii="Times New Roman" w:hAnsi="Times New Roman" w:cs="Times New Roman"/>
                <w:sz w:val="20"/>
                <w:szCs w:val="20"/>
              </w:rPr>
              <w:t>Minimum</w:t>
            </w:r>
          </w:p>
          <w:p w14:paraId="229FC8B5" w14:textId="77777777" w:rsidR="003A3720" w:rsidRPr="00625F58" w:rsidRDefault="003A3720" w:rsidP="006F76F9">
            <w:pPr>
              <w:jc w:val="both"/>
            </w:pPr>
            <w:proofErr w:type="gramStart"/>
            <w:r w:rsidRPr="00625F58">
              <w:rPr>
                <w:rFonts w:ascii="Times New Roman" w:hAnsi="Times New Roman" w:cs="Times New Roman"/>
                <w:sz w:val="20"/>
                <w:szCs w:val="20"/>
              </w:rPr>
              <w:t>size</w:t>
            </w:r>
            <w:proofErr w:type="gramEnd"/>
          </w:p>
        </w:tc>
        <w:tc>
          <w:tcPr>
            <w:tcW w:w="981" w:type="dxa"/>
            <w:tcBorders>
              <w:top w:val="nil"/>
              <w:left w:val="single" w:sz="4" w:space="0" w:color="00000A"/>
            </w:tcBorders>
            <w:shd w:val="clear" w:color="auto" w:fill="auto"/>
            <w:tcMar>
              <w:top w:w="0" w:type="dxa"/>
              <w:left w:w="108" w:type="dxa"/>
              <w:bottom w:w="0" w:type="dxa"/>
              <w:right w:w="108" w:type="dxa"/>
            </w:tcMar>
          </w:tcPr>
          <w:p w14:paraId="66E37B3A"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403</w:t>
            </w:r>
          </w:p>
        </w:tc>
        <w:tc>
          <w:tcPr>
            <w:tcW w:w="1088" w:type="dxa"/>
            <w:tcBorders>
              <w:top w:val="nil"/>
            </w:tcBorders>
            <w:shd w:val="clear" w:color="auto" w:fill="auto"/>
            <w:tcMar>
              <w:top w:w="0" w:type="dxa"/>
              <w:left w:w="108" w:type="dxa"/>
              <w:bottom w:w="0" w:type="dxa"/>
              <w:right w:w="108" w:type="dxa"/>
            </w:tcMar>
          </w:tcPr>
          <w:p w14:paraId="3FFB581B"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33</w:t>
            </w:r>
          </w:p>
        </w:tc>
        <w:tc>
          <w:tcPr>
            <w:tcW w:w="883" w:type="dxa"/>
            <w:tcBorders>
              <w:top w:val="nil"/>
            </w:tcBorders>
            <w:shd w:val="clear" w:color="auto" w:fill="auto"/>
            <w:tcMar>
              <w:top w:w="0" w:type="dxa"/>
              <w:left w:w="108" w:type="dxa"/>
              <w:bottom w:w="0" w:type="dxa"/>
              <w:right w:w="108" w:type="dxa"/>
            </w:tcMar>
          </w:tcPr>
          <w:p w14:paraId="286FDD33"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70</w:t>
            </w:r>
          </w:p>
        </w:tc>
        <w:tc>
          <w:tcPr>
            <w:tcW w:w="1118" w:type="dxa"/>
            <w:tcBorders>
              <w:top w:val="nil"/>
            </w:tcBorders>
            <w:shd w:val="clear" w:color="auto" w:fill="auto"/>
            <w:tcMar>
              <w:top w:w="0" w:type="dxa"/>
              <w:left w:w="108" w:type="dxa"/>
              <w:bottom w:w="0" w:type="dxa"/>
              <w:right w:w="108" w:type="dxa"/>
            </w:tcMar>
          </w:tcPr>
          <w:p w14:paraId="6685BBC0" w14:textId="77777777" w:rsidR="003A3720" w:rsidRPr="00625F58" w:rsidRDefault="003A3720" w:rsidP="006F76F9">
            <w:pPr>
              <w:jc w:val="center"/>
            </w:pPr>
            <w:r w:rsidRPr="00625F58">
              <w:rPr>
                <w:rFonts w:ascii="Times New Roman" w:eastAsia="Times New Roman" w:hAnsi="Times New Roman" w:cs="Times New Roman"/>
                <w:iCs/>
                <w:sz w:val="20"/>
                <w:szCs w:val="20"/>
                <w:lang w:eastAsia="en-GB"/>
              </w:rPr>
              <w:t>57</w:t>
            </w:r>
          </w:p>
        </w:tc>
        <w:tc>
          <w:tcPr>
            <w:tcW w:w="1070" w:type="dxa"/>
            <w:tcBorders>
              <w:top w:val="nil"/>
            </w:tcBorders>
            <w:shd w:val="clear" w:color="auto" w:fill="auto"/>
            <w:tcMar>
              <w:top w:w="0" w:type="dxa"/>
              <w:left w:w="108" w:type="dxa"/>
              <w:bottom w:w="0" w:type="dxa"/>
              <w:right w:w="108" w:type="dxa"/>
            </w:tcMar>
          </w:tcPr>
          <w:p w14:paraId="3380A6DE"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106</w:t>
            </w:r>
          </w:p>
        </w:tc>
        <w:tc>
          <w:tcPr>
            <w:tcW w:w="1119" w:type="dxa"/>
            <w:tcBorders>
              <w:top w:val="nil"/>
              <w:right w:val="single" w:sz="4" w:space="0" w:color="00000A"/>
            </w:tcBorders>
            <w:shd w:val="clear" w:color="auto" w:fill="auto"/>
            <w:tcMar>
              <w:top w:w="0" w:type="dxa"/>
              <w:left w:w="108" w:type="dxa"/>
              <w:bottom w:w="0" w:type="dxa"/>
              <w:right w:w="108" w:type="dxa"/>
            </w:tcMar>
          </w:tcPr>
          <w:p w14:paraId="698E5EA0"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57</w:t>
            </w:r>
          </w:p>
        </w:tc>
        <w:tc>
          <w:tcPr>
            <w:tcW w:w="1081" w:type="dxa"/>
            <w:tcBorders>
              <w:top w:val="nil"/>
              <w:left w:val="single" w:sz="4" w:space="0" w:color="00000A"/>
            </w:tcBorders>
            <w:shd w:val="clear" w:color="auto" w:fill="auto"/>
            <w:tcMar>
              <w:top w:w="0" w:type="dxa"/>
              <w:left w:w="108" w:type="dxa"/>
              <w:bottom w:w="0" w:type="dxa"/>
              <w:right w:w="108" w:type="dxa"/>
            </w:tcMar>
          </w:tcPr>
          <w:p w14:paraId="15D10103" w14:textId="77777777" w:rsidR="003A3720" w:rsidRPr="00625F58" w:rsidRDefault="003A3720" w:rsidP="006F76F9">
            <w:pPr>
              <w:jc w:val="center"/>
            </w:pPr>
            <w:r w:rsidRPr="00625F58">
              <w:rPr>
                <w:rFonts w:ascii="Times New Roman" w:hAnsi="Times New Roman" w:cs="Times New Roman"/>
                <w:sz w:val="20"/>
                <w:szCs w:val="20"/>
              </w:rPr>
              <w:t>33</w:t>
            </w:r>
          </w:p>
        </w:tc>
        <w:tc>
          <w:tcPr>
            <w:tcW w:w="1267" w:type="dxa"/>
            <w:tcBorders>
              <w:top w:val="nil"/>
            </w:tcBorders>
            <w:shd w:val="clear" w:color="auto" w:fill="auto"/>
            <w:tcMar>
              <w:top w:w="0" w:type="dxa"/>
              <w:left w:w="108" w:type="dxa"/>
              <w:bottom w:w="0" w:type="dxa"/>
              <w:right w:w="108" w:type="dxa"/>
            </w:tcMar>
          </w:tcPr>
          <w:p w14:paraId="0E207E40" w14:textId="77777777" w:rsidR="003A3720" w:rsidRPr="00625F58" w:rsidRDefault="003A3720" w:rsidP="006F76F9">
            <w:pPr>
              <w:jc w:val="center"/>
            </w:pPr>
            <w:r w:rsidRPr="00625F58">
              <w:rPr>
                <w:rFonts w:ascii="Times New Roman" w:hAnsi="Times New Roman" w:cs="Times New Roman"/>
                <w:sz w:val="20"/>
                <w:szCs w:val="20"/>
              </w:rPr>
              <w:t>-</w:t>
            </w:r>
          </w:p>
        </w:tc>
      </w:tr>
      <w:tr w:rsidR="003A3720" w:rsidRPr="00625F58" w14:paraId="0650285C" w14:textId="77777777" w:rsidTr="006F76F9">
        <w:tc>
          <w:tcPr>
            <w:tcW w:w="1022" w:type="dxa"/>
            <w:tcBorders>
              <w:top w:val="nil"/>
              <w:bottom w:val="nil"/>
            </w:tcBorders>
            <w:shd w:val="clear" w:color="auto" w:fill="auto"/>
            <w:tcMar>
              <w:top w:w="0" w:type="dxa"/>
              <w:left w:w="108" w:type="dxa"/>
              <w:bottom w:w="0" w:type="dxa"/>
              <w:right w:w="108" w:type="dxa"/>
            </w:tcMar>
          </w:tcPr>
          <w:p w14:paraId="5725887C" w14:textId="77777777" w:rsidR="003A3720" w:rsidRPr="00625F58" w:rsidRDefault="003A3720" w:rsidP="006F76F9">
            <w:pPr>
              <w:jc w:val="both"/>
            </w:pPr>
          </w:p>
        </w:tc>
        <w:tc>
          <w:tcPr>
            <w:tcW w:w="1213" w:type="dxa"/>
            <w:tcBorders>
              <w:top w:val="nil"/>
              <w:bottom w:val="nil"/>
              <w:right w:val="single" w:sz="4" w:space="0" w:color="00000A"/>
            </w:tcBorders>
            <w:shd w:val="clear" w:color="auto" w:fill="auto"/>
            <w:tcMar>
              <w:top w:w="0" w:type="dxa"/>
              <w:left w:w="108" w:type="dxa"/>
              <w:bottom w:w="0" w:type="dxa"/>
              <w:right w:w="108" w:type="dxa"/>
            </w:tcMar>
          </w:tcPr>
          <w:p w14:paraId="55F1D709" w14:textId="77777777" w:rsidR="003A3720" w:rsidRPr="00625F58" w:rsidRDefault="003A3720" w:rsidP="006F76F9">
            <w:pPr>
              <w:rPr>
                <w:rFonts w:ascii="Times New Roman" w:hAnsi="Times New Roman" w:cs="Times New Roman"/>
                <w:sz w:val="20"/>
                <w:szCs w:val="20"/>
              </w:rPr>
            </w:pPr>
          </w:p>
        </w:tc>
        <w:tc>
          <w:tcPr>
            <w:tcW w:w="981" w:type="dxa"/>
            <w:tcBorders>
              <w:top w:val="nil"/>
              <w:left w:val="single" w:sz="4" w:space="0" w:color="00000A"/>
              <w:bottom w:val="nil"/>
            </w:tcBorders>
            <w:shd w:val="clear" w:color="auto" w:fill="auto"/>
            <w:tcMar>
              <w:top w:w="0" w:type="dxa"/>
              <w:left w:w="108" w:type="dxa"/>
              <w:bottom w:w="0" w:type="dxa"/>
              <w:right w:w="108" w:type="dxa"/>
            </w:tcMar>
          </w:tcPr>
          <w:p w14:paraId="39D353E1"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088" w:type="dxa"/>
            <w:tcBorders>
              <w:top w:val="nil"/>
              <w:bottom w:val="nil"/>
            </w:tcBorders>
            <w:shd w:val="clear" w:color="auto" w:fill="auto"/>
            <w:tcMar>
              <w:top w:w="0" w:type="dxa"/>
              <w:left w:w="108" w:type="dxa"/>
              <w:bottom w:w="0" w:type="dxa"/>
              <w:right w:w="108" w:type="dxa"/>
            </w:tcMar>
          </w:tcPr>
          <w:p w14:paraId="7B45AFE2"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883" w:type="dxa"/>
            <w:tcBorders>
              <w:top w:val="nil"/>
              <w:bottom w:val="nil"/>
            </w:tcBorders>
            <w:shd w:val="clear" w:color="auto" w:fill="auto"/>
            <w:tcMar>
              <w:top w:w="0" w:type="dxa"/>
              <w:left w:w="108" w:type="dxa"/>
              <w:bottom w:w="0" w:type="dxa"/>
              <w:right w:w="108" w:type="dxa"/>
            </w:tcMar>
          </w:tcPr>
          <w:p w14:paraId="3B796671"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118" w:type="dxa"/>
            <w:tcBorders>
              <w:top w:val="nil"/>
              <w:bottom w:val="nil"/>
            </w:tcBorders>
            <w:shd w:val="clear" w:color="auto" w:fill="auto"/>
            <w:tcMar>
              <w:top w:w="0" w:type="dxa"/>
              <w:left w:w="108" w:type="dxa"/>
              <w:bottom w:w="0" w:type="dxa"/>
              <w:right w:w="108" w:type="dxa"/>
            </w:tcMar>
          </w:tcPr>
          <w:p w14:paraId="3B5BC1E9" w14:textId="77777777" w:rsidR="003A3720" w:rsidRPr="00625F58" w:rsidRDefault="003A3720" w:rsidP="006F76F9">
            <w:pPr>
              <w:jc w:val="center"/>
              <w:rPr>
                <w:rFonts w:ascii="Times New Roman" w:eastAsia="Times New Roman" w:hAnsi="Times New Roman" w:cs="Times New Roman"/>
                <w:iCs/>
                <w:sz w:val="20"/>
                <w:szCs w:val="20"/>
                <w:lang w:eastAsia="en-GB"/>
              </w:rPr>
            </w:pPr>
          </w:p>
        </w:tc>
        <w:tc>
          <w:tcPr>
            <w:tcW w:w="1070" w:type="dxa"/>
            <w:tcBorders>
              <w:top w:val="nil"/>
              <w:bottom w:val="nil"/>
            </w:tcBorders>
            <w:shd w:val="clear" w:color="auto" w:fill="auto"/>
            <w:tcMar>
              <w:top w:w="0" w:type="dxa"/>
              <w:left w:w="108" w:type="dxa"/>
              <w:bottom w:w="0" w:type="dxa"/>
              <w:right w:w="108" w:type="dxa"/>
            </w:tcMar>
          </w:tcPr>
          <w:p w14:paraId="4A2ADEB6"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119" w:type="dxa"/>
            <w:tcBorders>
              <w:top w:val="nil"/>
              <w:bottom w:val="nil"/>
              <w:right w:val="single" w:sz="4" w:space="0" w:color="00000A"/>
            </w:tcBorders>
            <w:shd w:val="clear" w:color="auto" w:fill="auto"/>
            <w:tcMar>
              <w:top w:w="0" w:type="dxa"/>
              <w:left w:w="108" w:type="dxa"/>
              <w:bottom w:w="0" w:type="dxa"/>
              <w:right w:w="108" w:type="dxa"/>
            </w:tcMar>
          </w:tcPr>
          <w:p w14:paraId="69AEC880" w14:textId="77777777" w:rsidR="003A3720" w:rsidRPr="00625F58" w:rsidRDefault="003A3720" w:rsidP="006F76F9">
            <w:pPr>
              <w:jc w:val="center"/>
              <w:rPr>
                <w:rFonts w:ascii="Times New Roman" w:eastAsia="Times New Roman" w:hAnsi="Times New Roman" w:cs="Times New Roman"/>
                <w:bCs/>
                <w:sz w:val="20"/>
                <w:szCs w:val="20"/>
                <w:lang w:eastAsia="en-GB"/>
              </w:rPr>
            </w:pPr>
          </w:p>
        </w:tc>
        <w:tc>
          <w:tcPr>
            <w:tcW w:w="1081" w:type="dxa"/>
            <w:tcBorders>
              <w:top w:val="nil"/>
              <w:left w:val="single" w:sz="4" w:space="0" w:color="00000A"/>
              <w:bottom w:val="nil"/>
            </w:tcBorders>
            <w:shd w:val="clear" w:color="auto" w:fill="auto"/>
            <w:tcMar>
              <w:top w:w="0" w:type="dxa"/>
              <w:left w:w="108" w:type="dxa"/>
              <w:bottom w:w="0" w:type="dxa"/>
              <w:right w:w="108" w:type="dxa"/>
            </w:tcMar>
          </w:tcPr>
          <w:p w14:paraId="714ED547" w14:textId="77777777" w:rsidR="003A3720" w:rsidRPr="00625F58" w:rsidRDefault="003A3720" w:rsidP="006F76F9">
            <w:pPr>
              <w:jc w:val="center"/>
              <w:rPr>
                <w:rFonts w:ascii="Times New Roman" w:hAnsi="Times New Roman" w:cs="Times New Roman"/>
                <w:sz w:val="20"/>
                <w:szCs w:val="20"/>
              </w:rPr>
            </w:pPr>
          </w:p>
        </w:tc>
        <w:tc>
          <w:tcPr>
            <w:tcW w:w="1267" w:type="dxa"/>
            <w:tcBorders>
              <w:top w:val="nil"/>
              <w:bottom w:val="nil"/>
            </w:tcBorders>
            <w:shd w:val="clear" w:color="auto" w:fill="auto"/>
            <w:tcMar>
              <w:top w:w="0" w:type="dxa"/>
              <w:left w:w="108" w:type="dxa"/>
              <w:bottom w:w="0" w:type="dxa"/>
              <w:right w:w="108" w:type="dxa"/>
            </w:tcMar>
          </w:tcPr>
          <w:p w14:paraId="7858EB84" w14:textId="77777777" w:rsidR="003A3720" w:rsidRPr="00625F58" w:rsidRDefault="003A3720" w:rsidP="006F76F9">
            <w:pPr>
              <w:jc w:val="center"/>
              <w:rPr>
                <w:rFonts w:ascii="Times New Roman" w:hAnsi="Times New Roman" w:cs="Times New Roman"/>
                <w:sz w:val="20"/>
                <w:szCs w:val="20"/>
              </w:rPr>
            </w:pPr>
          </w:p>
        </w:tc>
      </w:tr>
      <w:tr w:rsidR="003A3720" w:rsidRPr="00625F58" w14:paraId="58265F0E" w14:textId="77777777" w:rsidTr="006F76F9">
        <w:tc>
          <w:tcPr>
            <w:tcW w:w="1022" w:type="dxa"/>
            <w:tcBorders>
              <w:top w:val="nil"/>
              <w:bottom w:val="nil"/>
            </w:tcBorders>
            <w:shd w:val="clear" w:color="auto" w:fill="auto"/>
            <w:tcMar>
              <w:top w:w="0" w:type="dxa"/>
              <w:left w:w="108" w:type="dxa"/>
              <w:bottom w:w="0" w:type="dxa"/>
              <w:right w:w="108" w:type="dxa"/>
            </w:tcMar>
          </w:tcPr>
          <w:p w14:paraId="4C28F935" w14:textId="77777777" w:rsidR="003A3720" w:rsidRPr="00625F58" w:rsidRDefault="003A3720" w:rsidP="006F76F9">
            <w:pPr>
              <w:jc w:val="both"/>
            </w:pPr>
          </w:p>
        </w:tc>
        <w:tc>
          <w:tcPr>
            <w:tcW w:w="1213" w:type="dxa"/>
            <w:tcBorders>
              <w:top w:val="nil"/>
              <w:bottom w:val="nil"/>
              <w:right w:val="single" w:sz="4" w:space="0" w:color="00000A"/>
            </w:tcBorders>
            <w:shd w:val="clear" w:color="auto" w:fill="auto"/>
            <w:tcMar>
              <w:top w:w="0" w:type="dxa"/>
              <w:left w:w="108" w:type="dxa"/>
              <w:bottom w:w="0" w:type="dxa"/>
              <w:right w:w="108" w:type="dxa"/>
            </w:tcMar>
          </w:tcPr>
          <w:p w14:paraId="5AED5166" w14:textId="77777777" w:rsidR="003A3720" w:rsidRPr="00625F58" w:rsidRDefault="003A3720" w:rsidP="006F76F9">
            <w:r w:rsidRPr="00625F58">
              <w:rPr>
                <w:rFonts w:ascii="Times New Roman" w:hAnsi="Times New Roman" w:cs="Times New Roman"/>
                <w:sz w:val="20"/>
                <w:szCs w:val="20"/>
              </w:rPr>
              <w:t xml:space="preserve">Maximum </w:t>
            </w:r>
          </w:p>
          <w:p w14:paraId="5D58AC84" w14:textId="77777777" w:rsidR="003A3720" w:rsidRPr="00625F58" w:rsidRDefault="003A3720" w:rsidP="006F76F9">
            <w:r w:rsidRPr="00625F58">
              <w:rPr>
                <w:rFonts w:ascii="Times New Roman" w:hAnsi="Times New Roman" w:cs="Times New Roman"/>
                <w:sz w:val="20"/>
                <w:szCs w:val="20"/>
              </w:rPr>
              <w:t>Size</w:t>
            </w:r>
          </w:p>
          <w:p w14:paraId="2DDF2476" w14:textId="77777777" w:rsidR="003A3720" w:rsidRPr="00625F58" w:rsidRDefault="003A3720" w:rsidP="006F76F9">
            <w:pPr>
              <w:rPr>
                <w:rFonts w:ascii="Times New Roman" w:hAnsi="Times New Roman" w:cs="Times New Roman"/>
                <w:sz w:val="20"/>
                <w:szCs w:val="20"/>
              </w:rPr>
            </w:pPr>
          </w:p>
        </w:tc>
        <w:tc>
          <w:tcPr>
            <w:tcW w:w="981" w:type="dxa"/>
            <w:tcBorders>
              <w:top w:val="nil"/>
              <w:left w:val="single" w:sz="4" w:space="0" w:color="00000A"/>
              <w:bottom w:val="nil"/>
            </w:tcBorders>
            <w:shd w:val="clear" w:color="auto" w:fill="auto"/>
            <w:tcMar>
              <w:top w:w="0" w:type="dxa"/>
              <w:left w:w="108" w:type="dxa"/>
              <w:bottom w:w="0" w:type="dxa"/>
              <w:right w:w="108" w:type="dxa"/>
            </w:tcMar>
          </w:tcPr>
          <w:p w14:paraId="64869AE8"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109,718</w:t>
            </w:r>
          </w:p>
        </w:tc>
        <w:tc>
          <w:tcPr>
            <w:tcW w:w="1088" w:type="dxa"/>
            <w:tcBorders>
              <w:top w:val="nil"/>
              <w:bottom w:val="nil"/>
            </w:tcBorders>
            <w:shd w:val="clear" w:color="auto" w:fill="auto"/>
            <w:tcMar>
              <w:top w:w="0" w:type="dxa"/>
              <w:left w:w="108" w:type="dxa"/>
              <w:bottom w:w="0" w:type="dxa"/>
              <w:right w:w="108" w:type="dxa"/>
            </w:tcMar>
          </w:tcPr>
          <w:p w14:paraId="1AF1A088"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23,498</w:t>
            </w:r>
          </w:p>
        </w:tc>
        <w:tc>
          <w:tcPr>
            <w:tcW w:w="883" w:type="dxa"/>
            <w:tcBorders>
              <w:top w:val="nil"/>
              <w:bottom w:val="nil"/>
            </w:tcBorders>
            <w:shd w:val="clear" w:color="auto" w:fill="auto"/>
            <w:tcMar>
              <w:top w:w="0" w:type="dxa"/>
              <w:left w:w="108" w:type="dxa"/>
              <w:bottom w:w="0" w:type="dxa"/>
              <w:right w:w="108" w:type="dxa"/>
            </w:tcMar>
          </w:tcPr>
          <w:p w14:paraId="42A84A9D"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18,660</w:t>
            </w:r>
          </w:p>
        </w:tc>
        <w:tc>
          <w:tcPr>
            <w:tcW w:w="1118" w:type="dxa"/>
            <w:tcBorders>
              <w:top w:val="nil"/>
              <w:bottom w:val="nil"/>
            </w:tcBorders>
            <w:shd w:val="clear" w:color="auto" w:fill="auto"/>
            <w:tcMar>
              <w:top w:w="0" w:type="dxa"/>
              <w:left w:w="108" w:type="dxa"/>
              <w:bottom w:w="0" w:type="dxa"/>
              <w:right w:w="108" w:type="dxa"/>
            </w:tcMar>
          </w:tcPr>
          <w:p w14:paraId="4D432E45" w14:textId="77777777" w:rsidR="003A3720" w:rsidRPr="00625F58" w:rsidRDefault="003A3720" w:rsidP="006F76F9">
            <w:pPr>
              <w:jc w:val="center"/>
            </w:pPr>
            <w:r w:rsidRPr="00625F58">
              <w:rPr>
                <w:rFonts w:ascii="Times New Roman" w:eastAsia="Times New Roman" w:hAnsi="Times New Roman" w:cs="Times New Roman"/>
                <w:iCs/>
                <w:sz w:val="20"/>
                <w:szCs w:val="20"/>
                <w:lang w:eastAsia="en-GB"/>
              </w:rPr>
              <w:t>16,295</w:t>
            </w:r>
          </w:p>
        </w:tc>
        <w:tc>
          <w:tcPr>
            <w:tcW w:w="1070" w:type="dxa"/>
            <w:tcBorders>
              <w:top w:val="nil"/>
              <w:bottom w:val="nil"/>
            </w:tcBorders>
            <w:shd w:val="clear" w:color="auto" w:fill="auto"/>
            <w:tcMar>
              <w:top w:w="0" w:type="dxa"/>
              <w:left w:w="108" w:type="dxa"/>
              <w:bottom w:w="0" w:type="dxa"/>
              <w:right w:w="108" w:type="dxa"/>
            </w:tcMar>
          </w:tcPr>
          <w:p w14:paraId="2552E09D"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37,880</w:t>
            </w:r>
          </w:p>
        </w:tc>
        <w:tc>
          <w:tcPr>
            <w:tcW w:w="1119" w:type="dxa"/>
            <w:tcBorders>
              <w:top w:val="nil"/>
              <w:bottom w:val="nil"/>
              <w:right w:val="single" w:sz="4" w:space="0" w:color="00000A"/>
            </w:tcBorders>
            <w:shd w:val="clear" w:color="auto" w:fill="auto"/>
            <w:tcMar>
              <w:top w:w="0" w:type="dxa"/>
              <w:left w:w="108" w:type="dxa"/>
              <w:bottom w:w="0" w:type="dxa"/>
              <w:right w:w="108" w:type="dxa"/>
            </w:tcMar>
          </w:tcPr>
          <w:p w14:paraId="777FAED0" w14:textId="77777777" w:rsidR="003A3720" w:rsidRPr="00625F58" w:rsidRDefault="003A3720" w:rsidP="006F76F9">
            <w:pPr>
              <w:jc w:val="center"/>
            </w:pPr>
            <w:r w:rsidRPr="00625F58">
              <w:rPr>
                <w:rFonts w:ascii="Times New Roman" w:eastAsia="Times New Roman" w:hAnsi="Times New Roman" w:cs="Times New Roman"/>
                <w:bCs/>
                <w:sz w:val="20"/>
                <w:szCs w:val="20"/>
                <w:lang w:eastAsia="en-GB"/>
              </w:rPr>
              <w:t>34,656</w:t>
            </w:r>
          </w:p>
        </w:tc>
        <w:tc>
          <w:tcPr>
            <w:tcW w:w="1081" w:type="dxa"/>
            <w:tcBorders>
              <w:top w:val="nil"/>
              <w:left w:val="single" w:sz="4" w:space="0" w:color="00000A"/>
              <w:bottom w:val="nil"/>
            </w:tcBorders>
            <w:shd w:val="clear" w:color="auto" w:fill="auto"/>
            <w:tcMar>
              <w:top w:w="0" w:type="dxa"/>
              <w:left w:w="108" w:type="dxa"/>
              <w:bottom w:w="0" w:type="dxa"/>
              <w:right w:w="108" w:type="dxa"/>
            </w:tcMar>
          </w:tcPr>
          <w:p w14:paraId="78626236" w14:textId="77777777" w:rsidR="003A3720" w:rsidRPr="00625F58" w:rsidRDefault="003A3720" w:rsidP="006F76F9">
            <w:pPr>
              <w:jc w:val="center"/>
            </w:pPr>
            <w:r w:rsidRPr="00625F58">
              <w:rPr>
                <w:rFonts w:ascii="Times New Roman" w:hAnsi="Times New Roman" w:cs="Times New Roman"/>
                <w:sz w:val="20"/>
                <w:szCs w:val="20"/>
              </w:rPr>
              <w:t>109,718</w:t>
            </w:r>
          </w:p>
        </w:tc>
        <w:tc>
          <w:tcPr>
            <w:tcW w:w="1267" w:type="dxa"/>
            <w:tcBorders>
              <w:top w:val="nil"/>
              <w:bottom w:val="nil"/>
            </w:tcBorders>
            <w:shd w:val="clear" w:color="auto" w:fill="auto"/>
            <w:tcMar>
              <w:top w:w="0" w:type="dxa"/>
              <w:left w:w="108" w:type="dxa"/>
              <w:bottom w:w="0" w:type="dxa"/>
              <w:right w:w="108" w:type="dxa"/>
            </w:tcMar>
          </w:tcPr>
          <w:p w14:paraId="715EAD2C" w14:textId="77777777" w:rsidR="003A3720" w:rsidRPr="00625F58" w:rsidRDefault="003A3720" w:rsidP="006F76F9">
            <w:pPr>
              <w:jc w:val="center"/>
            </w:pPr>
            <w:r w:rsidRPr="00625F58">
              <w:rPr>
                <w:rFonts w:ascii="Times New Roman" w:hAnsi="Times New Roman" w:cs="Times New Roman"/>
                <w:sz w:val="20"/>
                <w:szCs w:val="20"/>
              </w:rPr>
              <w:t>-</w:t>
            </w:r>
          </w:p>
        </w:tc>
      </w:tr>
      <w:tr w:rsidR="003A3720" w:rsidRPr="00625F58" w14:paraId="0C75A4D6" w14:textId="77777777" w:rsidTr="006F76F9">
        <w:tc>
          <w:tcPr>
            <w:tcW w:w="1022" w:type="dxa"/>
            <w:tcBorders>
              <w:top w:val="nil"/>
              <w:bottom w:val="single" w:sz="4" w:space="0" w:color="auto"/>
            </w:tcBorders>
            <w:shd w:val="clear" w:color="auto" w:fill="auto"/>
            <w:tcMar>
              <w:top w:w="0" w:type="dxa"/>
              <w:left w:w="108" w:type="dxa"/>
              <w:bottom w:w="0" w:type="dxa"/>
              <w:right w:w="108" w:type="dxa"/>
            </w:tcMar>
          </w:tcPr>
          <w:p w14:paraId="53196F7B" w14:textId="77777777" w:rsidR="003A3720" w:rsidRPr="00625F58" w:rsidRDefault="003A3720" w:rsidP="006F76F9">
            <w:pPr>
              <w:jc w:val="both"/>
              <w:rPr>
                <w:rFonts w:ascii="Times New Roman" w:hAnsi="Times New Roman" w:cs="Times New Roman"/>
                <w:sz w:val="20"/>
                <w:szCs w:val="20"/>
              </w:rPr>
            </w:pPr>
          </w:p>
        </w:tc>
        <w:tc>
          <w:tcPr>
            <w:tcW w:w="1213" w:type="dxa"/>
            <w:tcBorders>
              <w:top w:val="nil"/>
              <w:bottom w:val="single" w:sz="4" w:space="0" w:color="auto"/>
              <w:right w:val="single" w:sz="4" w:space="0" w:color="00000A"/>
            </w:tcBorders>
            <w:shd w:val="clear" w:color="auto" w:fill="auto"/>
            <w:tcMar>
              <w:top w:w="0" w:type="dxa"/>
              <w:left w:w="108" w:type="dxa"/>
              <w:bottom w:w="0" w:type="dxa"/>
              <w:right w:w="108" w:type="dxa"/>
            </w:tcMar>
          </w:tcPr>
          <w:p w14:paraId="11D6A1E5" w14:textId="77777777" w:rsidR="003A3720" w:rsidRPr="00625F58" w:rsidRDefault="003A3720" w:rsidP="006F76F9">
            <w:pPr>
              <w:rPr>
                <w:rFonts w:ascii="Times New Roman" w:hAnsi="Times New Roman" w:cs="Times New Roman"/>
                <w:sz w:val="20"/>
                <w:szCs w:val="20"/>
              </w:rPr>
            </w:pPr>
            <w:r w:rsidRPr="00625F58">
              <w:rPr>
                <w:rFonts w:ascii="Times New Roman" w:hAnsi="Times New Roman" w:cs="Times New Roman"/>
                <w:i/>
                <w:sz w:val="20"/>
                <w:szCs w:val="20"/>
              </w:rPr>
              <w:t>Molinia</w:t>
            </w:r>
            <w:r w:rsidRPr="00625F58">
              <w:rPr>
                <w:rFonts w:ascii="Times New Roman" w:hAnsi="Times New Roman" w:cs="Times New Roman"/>
                <w:sz w:val="20"/>
                <w:szCs w:val="20"/>
              </w:rPr>
              <w:t>-restoration fires</w:t>
            </w:r>
          </w:p>
        </w:tc>
        <w:tc>
          <w:tcPr>
            <w:tcW w:w="981" w:type="dxa"/>
            <w:tcBorders>
              <w:top w:val="nil"/>
              <w:left w:val="single" w:sz="4" w:space="0" w:color="00000A"/>
              <w:bottom w:val="single" w:sz="4" w:space="0" w:color="00000A"/>
            </w:tcBorders>
            <w:shd w:val="clear" w:color="auto" w:fill="auto"/>
            <w:tcMar>
              <w:top w:w="0" w:type="dxa"/>
              <w:left w:w="108" w:type="dxa"/>
              <w:bottom w:w="0" w:type="dxa"/>
              <w:right w:w="108" w:type="dxa"/>
            </w:tcMar>
          </w:tcPr>
          <w:p w14:paraId="720D8A5B"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w:t>
            </w:r>
          </w:p>
        </w:tc>
        <w:tc>
          <w:tcPr>
            <w:tcW w:w="1088" w:type="dxa"/>
            <w:tcBorders>
              <w:top w:val="nil"/>
              <w:bottom w:val="single" w:sz="4" w:space="0" w:color="00000A"/>
            </w:tcBorders>
            <w:shd w:val="clear" w:color="auto" w:fill="auto"/>
            <w:tcMar>
              <w:top w:w="0" w:type="dxa"/>
              <w:left w:w="108" w:type="dxa"/>
              <w:bottom w:w="0" w:type="dxa"/>
              <w:right w:w="108" w:type="dxa"/>
            </w:tcMar>
          </w:tcPr>
          <w:p w14:paraId="0C81BFCB"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w:t>
            </w:r>
          </w:p>
        </w:tc>
        <w:tc>
          <w:tcPr>
            <w:tcW w:w="883" w:type="dxa"/>
            <w:tcBorders>
              <w:top w:val="nil"/>
              <w:bottom w:val="single" w:sz="4" w:space="0" w:color="00000A"/>
            </w:tcBorders>
            <w:shd w:val="clear" w:color="auto" w:fill="auto"/>
            <w:tcMar>
              <w:top w:w="0" w:type="dxa"/>
              <w:left w:w="108" w:type="dxa"/>
              <w:bottom w:w="0" w:type="dxa"/>
              <w:right w:w="108" w:type="dxa"/>
            </w:tcMar>
          </w:tcPr>
          <w:p w14:paraId="68A7969A"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w:t>
            </w:r>
          </w:p>
        </w:tc>
        <w:tc>
          <w:tcPr>
            <w:tcW w:w="1118" w:type="dxa"/>
            <w:tcBorders>
              <w:top w:val="nil"/>
              <w:bottom w:val="single" w:sz="4" w:space="0" w:color="00000A"/>
            </w:tcBorders>
            <w:shd w:val="clear" w:color="auto" w:fill="auto"/>
            <w:tcMar>
              <w:top w:w="0" w:type="dxa"/>
              <w:left w:w="108" w:type="dxa"/>
              <w:bottom w:w="0" w:type="dxa"/>
              <w:right w:w="108" w:type="dxa"/>
            </w:tcMar>
          </w:tcPr>
          <w:p w14:paraId="00497335"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w:t>
            </w:r>
          </w:p>
        </w:tc>
        <w:tc>
          <w:tcPr>
            <w:tcW w:w="1070" w:type="dxa"/>
            <w:tcBorders>
              <w:top w:val="nil"/>
              <w:bottom w:val="single" w:sz="4" w:space="0" w:color="00000A"/>
            </w:tcBorders>
            <w:shd w:val="clear" w:color="auto" w:fill="auto"/>
            <w:tcMar>
              <w:top w:w="0" w:type="dxa"/>
              <w:left w:w="108" w:type="dxa"/>
              <w:bottom w:w="0" w:type="dxa"/>
              <w:right w:w="108" w:type="dxa"/>
            </w:tcMar>
          </w:tcPr>
          <w:p w14:paraId="1CD562E4"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74,358</w:t>
            </w:r>
          </w:p>
        </w:tc>
        <w:tc>
          <w:tcPr>
            <w:tcW w:w="1119" w:type="dxa"/>
            <w:tcBorders>
              <w:top w:val="nil"/>
              <w:bottom w:val="single" w:sz="4" w:space="0" w:color="00000A"/>
              <w:right w:val="single" w:sz="4" w:space="0" w:color="00000A"/>
            </w:tcBorders>
            <w:shd w:val="clear" w:color="auto" w:fill="auto"/>
            <w:tcMar>
              <w:top w:w="0" w:type="dxa"/>
              <w:left w:w="108" w:type="dxa"/>
              <w:bottom w:w="0" w:type="dxa"/>
              <w:right w:w="108" w:type="dxa"/>
            </w:tcMar>
          </w:tcPr>
          <w:p w14:paraId="413F85DE"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34,565</w:t>
            </w:r>
          </w:p>
        </w:tc>
        <w:tc>
          <w:tcPr>
            <w:tcW w:w="1081" w:type="dxa"/>
            <w:tcBorders>
              <w:top w:val="nil"/>
              <w:left w:val="single" w:sz="4" w:space="0" w:color="00000A"/>
              <w:bottom w:val="single" w:sz="4" w:space="0" w:color="00000A"/>
            </w:tcBorders>
            <w:shd w:val="clear" w:color="auto" w:fill="auto"/>
            <w:tcMar>
              <w:top w:w="0" w:type="dxa"/>
              <w:left w:w="108" w:type="dxa"/>
              <w:bottom w:w="0" w:type="dxa"/>
              <w:right w:w="108" w:type="dxa"/>
            </w:tcMar>
          </w:tcPr>
          <w:p w14:paraId="3CFF70FD"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w:t>
            </w:r>
          </w:p>
        </w:tc>
        <w:tc>
          <w:tcPr>
            <w:tcW w:w="1267" w:type="dxa"/>
            <w:tcBorders>
              <w:top w:val="nil"/>
              <w:bottom w:val="single" w:sz="4" w:space="0" w:color="00000A"/>
            </w:tcBorders>
            <w:shd w:val="clear" w:color="auto" w:fill="auto"/>
            <w:tcMar>
              <w:top w:w="0" w:type="dxa"/>
              <w:left w:w="108" w:type="dxa"/>
              <w:bottom w:w="0" w:type="dxa"/>
              <w:right w:w="108" w:type="dxa"/>
            </w:tcMar>
          </w:tcPr>
          <w:p w14:paraId="2E9E5D7F" w14:textId="77777777" w:rsidR="003A3720" w:rsidRPr="00625F58" w:rsidRDefault="003A3720" w:rsidP="006F76F9">
            <w:pPr>
              <w:jc w:val="center"/>
              <w:rPr>
                <w:rFonts w:ascii="Times New Roman" w:hAnsi="Times New Roman" w:cs="Times New Roman"/>
                <w:sz w:val="20"/>
                <w:szCs w:val="20"/>
              </w:rPr>
            </w:pPr>
            <w:r w:rsidRPr="00625F58">
              <w:rPr>
                <w:rFonts w:ascii="Times New Roman" w:hAnsi="Times New Roman" w:cs="Times New Roman"/>
                <w:sz w:val="20"/>
                <w:szCs w:val="20"/>
              </w:rPr>
              <w:t>-</w:t>
            </w:r>
          </w:p>
        </w:tc>
      </w:tr>
    </w:tbl>
    <w:p w14:paraId="1841551A" w14:textId="77777777" w:rsidR="003A3720" w:rsidRPr="00625F58" w:rsidRDefault="003A3720" w:rsidP="003A3720">
      <w:pPr>
        <w:jc w:val="both"/>
        <w:rPr>
          <w:rFonts w:ascii="Times New Roman" w:hAnsi="Times New Roman" w:cs="Times New Roman"/>
          <w:sz w:val="20"/>
          <w:szCs w:val="20"/>
        </w:rPr>
      </w:pPr>
    </w:p>
    <w:p w14:paraId="1D6A7222" w14:textId="77777777" w:rsidR="003A3720" w:rsidRPr="00625F58" w:rsidRDefault="003A3720" w:rsidP="003A3720">
      <w:pPr>
        <w:jc w:val="both"/>
      </w:pPr>
      <w:r w:rsidRPr="00625F58">
        <w:rPr>
          <w:rFonts w:ascii="Times New Roman" w:hAnsi="Times New Roman" w:cs="Times New Roman"/>
          <w:sz w:val="20"/>
          <w:szCs w:val="20"/>
        </w:rPr>
        <w:t>(</w:t>
      </w:r>
      <w:proofErr w:type="gramStart"/>
      <w:r w:rsidRPr="00625F58">
        <w:rPr>
          <w:rFonts w:ascii="Times New Roman" w:hAnsi="Times New Roman" w:cs="Times New Roman"/>
          <w:sz w:val="20"/>
          <w:szCs w:val="20"/>
        </w:rPr>
        <w:t>b</w:t>
      </w:r>
      <w:proofErr w:type="gramEnd"/>
      <w:r w:rsidRPr="00625F58">
        <w:rPr>
          <w:rFonts w:ascii="Times New Roman" w:hAnsi="Times New Roman" w:cs="Times New Roman"/>
          <w:sz w:val="20"/>
          <w:szCs w:val="20"/>
        </w:rPr>
        <w:t>)</w:t>
      </w:r>
    </w:p>
    <w:tbl>
      <w:tblPr>
        <w:tblW w:w="0" w:type="auto"/>
        <w:tblInd w:w="-108" w:type="dxa"/>
        <w:tblBorders>
          <w:top w:val="single" w:sz="4" w:space="0" w:color="00000A"/>
        </w:tblBorders>
        <w:tblCellMar>
          <w:left w:w="10" w:type="dxa"/>
          <w:right w:w="10" w:type="dxa"/>
        </w:tblCellMar>
        <w:tblLook w:val="0000" w:firstRow="0" w:lastRow="0" w:firstColumn="0" w:lastColumn="0" w:noHBand="0" w:noVBand="0"/>
      </w:tblPr>
      <w:tblGrid>
        <w:gridCol w:w="1954"/>
        <w:gridCol w:w="1867"/>
        <w:gridCol w:w="1983"/>
        <w:gridCol w:w="1982"/>
        <w:gridCol w:w="1721"/>
      </w:tblGrid>
      <w:tr w:rsidR="003A3720" w:rsidRPr="00625F58" w14:paraId="62EDC1C3" w14:textId="77777777" w:rsidTr="006F76F9">
        <w:tc>
          <w:tcPr>
            <w:tcW w:w="1954" w:type="dxa"/>
            <w:tcBorders>
              <w:top w:val="single" w:sz="4" w:space="0" w:color="00000A"/>
            </w:tcBorders>
            <w:shd w:val="clear" w:color="auto" w:fill="auto"/>
            <w:tcMar>
              <w:top w:w="0" w:type="dxa"/>
              <w:left w:w="108" w:type="dxa"/>
              <w:bottom w:w="0" w:type="dxa"/>
              <w:right w:w="108" w:type="dxa"/>
            </w:tcMar>
          </w:tcPr>
          <w:p w14:paraId="17A931DC" w14:textId="77777777" w:rsidR="003A3720" w:rsidRPr="00625F58" w:rsidRDefault="003A3720" w:rsidP="006F76F9">
            <w:pPr>
              <w:jc w:val="both"/>
            </w:pPr>
            <w:r w:rsidRPr="00625F58">
              <w:rPr>
                <w:rFonts w:ascii="Times New Roman" w:hAnsi="Times New Roman" w:cs="Times New Roman"/>
                <w:sz w:val="20"/>
                <w:szCs w:val="20"/>
              </w:rPr>
              <w:t>Sampling period</w:t>
            </w:r>
          </w:p>
        </w:tc>
        <w:tc>
          <w:tcPr>
            <w:tcW w:w="3850" w:type="dxa"/>
            <w:gridSpan w:val="2"/>
            <w:tcBorders>
              <w:top w:val="single" w:sz="4" w:space="0" w:color="00000A"/>
            </w:tcBorders>
            <w:shd w:val="clear" w:color="auto" w:fill="auto"/>
            <w:tcMar>
              <w:top w:w="0" w:type="dxa"/>
              <w:left w:w="108" w:type="dxa"/>
              <w:bottom w:w="0" w:type="dxa"/>
              <w:right w:w="108" w:type="dxa"/>
            </w:tcMar>
          </w:tcPr>
          <w:p w14:paraId="50EA7E8B" w14:textId="77777777" w:rsidR="003A3720" w:rsidRPr="00625F58" w:rsidRDefault="003A3720" w:rsidP="006F76F9">
            <w:pPr>
              <w:jc w:val="center"/>
            </w:pPr>
            <w:r w:rsidRPr="00625F58">
              <w:rPr>
                <w:rFonts w:ascii="Times New Roman" w:hAnsi="Times New Roman" w:cs="Times New Roman"/>
                <w:sz w:val="20"/>
                <w:szCs w:val="20"/>
              </w:rPr>
              <w:t>Entire moor</w:t>
            </w:r>
          </w:p>
          <w:p w14:paraId="4F05681F" w14:textId="77777777" w:rsidR="003A3720" w:rsidRPr="00625F58" w:rsidRDefault="003A3720" w:rsidP="006F76F9">
            <w:pPr>
              <w:jc w:val="center"/>
            </w:pPr>
            <w:r w:rsidRPr="00625F58">
              <w:rPr>
                <w:rFonts w:ascii="Times New Roman" w:hAnsi="Times New Roman" w:cs="Times New Roman"/>
                <w:sz w:val="20"/>
                <w:szCs w:val="20"/>
              </w:rPr>
              <w:t>(20.9 km</w:t>
            </w:r>
            <w:r w:rsidRPr="00625F58">
              <w:rPr>
                <w:rFonts w:ascii="Times New Roman" w:hAnsi="Times New Roman" w:cs="Times New Roman"/>
                <w:sz w:val="20"/>
                <w:szCs w:val="20"/>
                <w:vertAlign w:val="superscript"/>
              </w:rPr>
              <w:t>2</w:t>
            </w:r>
            <w:r w:rsidRPr="00625F58">
              <w:rPr>
                <w:rFonts w:ascii="Times New Roman" w:hAnsi="Times New Roman" w:cs="Times New Roman"/>
                <w:sz w:val="20"/>
                <w:szCs w:val="20"/>
              </w:rPr>
              <w:t>)</w:t>
            </w:r>
          </w:p>
        </w:tc>
        <w:tc>
          <w:tcPr>
            <w:tcW w:w="3703" w:type="dxa"/>
            <w:gridSpan w:val="2"/>
            <w:tcBorders>
              <w:top w:val="single" w:sz="4" w:space="0" w:color="00000A"/>
            </w:tcBorders>
            <w:shd w:val="clear" w:color="auto" w:fill="auto"/>
            <w:tcMar>
              <w:top w:w="0" w:type="dxa"/>
              <w:left w:w="108" w:type="dxa"/>
              <w:bottom w:w="0" w:type="dxa"/>
              <w:right w:w="108" w:type="dxa"/>
            </w:tcMar>
          </w:tcPr>
          <w:p w14:paraId="1D784DFF" w14:textId="77777777" w:rsidR="003A3720" w:rsidRPr="00625F58" w:rsidRDefault="003A3720" w:rsidP="006F76F9">
            <w:pPr>
              <w:jc w:val="center"/>
            </w:pPr>
            <w:r w:rsidRPr="00625F58">
              <w:rPr>
                <w:rFonts w:ascii="Times New Roman" w:hAnsi="Times New Roman" w:cs="Times New Roman"/>
                <w:sz w:val="20"/>
                <w:szCs w:val="20"/>
              </w:rPr>
              <w:t xml:space="preserve">“Potentially burnable” </w:t>
            </w:r>
          </w:p>
          <w:p w14:paraId="2B54F639" w14:textId="77777777" w:rsidR="003A3720" w:rsidRPr="00625F58" w:rsidRDefault="003A3720" w:rsidP="006F76F9">
            <w:pPr>
              <w:jc w:val="center"/>
            </w:pPr>
            <w:r w:rsidRPr="00625F58">
              <w:rPr>
                <w:rFonts w:ascii="Times New Roman" w:hAnsi="Times New Roman" w:cs="Times New Roman"/>
                <w:sz w:val="20"/>
                <w:szCs w:val="20"/>
              </w:rPr>
              <w:t>(14.4km</w:t>
            </w:r>
            <w:r w:rsidRPr="00625F58">
              <w:rPr>
                <w:rFonts w:ascii="Times New Roman" w:hAnsi="Times New Roman" w:cs="Times New Roman"/>
                <w:sz w:val="20"/>
                <w:szCs w:val="20"/>
                <w:vertAlign w:val="superscript"/>
              </w:rPr>
              <w:t>2</w:t>
            </w:r>
            <w:r w:rsidRPr="00625F58">
              <w:rPr>
                <w:rFonts w:ascii="Times New Roman" w:hAnsi="Times New Roman" w:cs="Times New Roman"/>
                <w:sz w:val="20"/>
                <w:szCs w:val="20"/>
              </w:rPr>
              <w:t>)</w:t>
            </w:r>
          </w:p>
          <w:p w14:paraId="7576A03A" w14:textId="77777777" w:rsidR="003A3720" w:rsidRPr="00625F58" w:rsidRDefault="003A3720" w:rsidP="006F76F9">
            <w:pPr>
              <w:jc w:val="center"/>
            </w:pPr>
          </w:p>
        </w:tc>
      </w:tr>
      <w:tr w:rsidR="003A3720" w:rsidRPr="00625F58" w14:paraId="78F261FF" w14:textId="77777777" w:rsidTr="006F76F9">
        <w:tc>
          <w:tcPr>
            <w:tcW w:w="1954" w:type="dxa"/>
            <w:tcBorders>
              <w:bottom w:val="single" w:sz="4" w:space="0" w:color="00000A"/>
            </w:tcBorders>
            <w:shd w:val="clear" w:color="auto" w:fill="auto"/>
            <w:tcMar>
              <w:top w:w="0" w:type="dxa"/>
              <w:left w:w="108" w:type="dxa"/>
              <w:bottom w:w="0" w:type="dxa"/>
              <w:right w:w="108" w:type="dxa"/>
            </w:tcMar>
            <w:vAlign w:val="center"/>
          </w:tcPr>
          <w:p w14:paraId="562F36DF" w14:textId="77777777" w:rsidR="003A3720" w:rsidRPr="00625F58" w:rsidRDefault="003A3720" w:rsidP="006F76F9"/>
        </w:tc>
        <w:tc>
          <w:tcPr>
            <w:tcW w:w="1867" w:type="dxa"/>
            <w:tcBorders>
              <w:bottom w:val="single" w:sz="4" w:space="0" w:color="00000A"/>
            </w:tcBorders>
            <w:shd w:val="clear" w:color="auto" w:fill="auto"/>
            <w:tcMar>
              <w:top w:w="0" w:type="dxa"/>
              <w:left w:w="108" w:type="dxa"/>
              <w:bottom w:w="0" w:type="dxa"/>
              <w:right w:w="108" w:type="dxa"/>
            </w:tcMar>
          </w:tcPr>
          <w:p w14:paraId="6C58EB77"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 xml:space="preserve">% </w:t>
            </w:r>
            <w:proofErr w:type="gramStart"/>
            <w:r w:rsidRPr="00625F58">
              <w:rPr>
                <w:rFonts w:ascii="Times New Roman" w:eastAsia="Times New Roman" w:hAnsi="Times New Roman" w:cs="Times New Roman"/>
                <w:sz w:val="20"/>
                <w:szCs w:val="20"/>
                <w:lang w:eastAsia="en-GB"/>
              </w:rPr>
              <w:t>of</w:t>
            </w:r>
            <w:proofErr w:type="gramEnd"/>
            <w:r w:rsidRPr="00625F58">
              <w:rPr>
                <w:rFonts w:ascii="Times New Roman" w:eastAsia="Times New Roman" w:hAnsi="Times New Roman" w:cs="Times New Roman"/>
                <w:sz w:val="20"/>
                <w:szCs w:val="20"/>
                <w:lang w:eastAsia="en-GB"/>
              </w:rPr>
              <w:t xml:space="preserve"> area</w:t>
            </w:r>
          </w:p>
        </w:tc>
        <w:tc>
          <w:tcPr>
            <w:tcW w:w="1983" w:type="dxa"/>
            <w:tcBorders>
              <w:bottom w:val="single" w:sz="4" w:space="0" w:color="00000A"/>
            </w:tcBorders>
            <w:shd w:val="clear" w:color="auto" w:fill="auto"/>
            <w:tcMar>
              <w:top w:w="0" w:type="dxa"/>
              <w:left w:w="108" w:type="dxa"/>
              <w:bottom w:w="0" w:type="dxa"/>
              <w:right w:w="108" w:type="dxa"/>
            </w:tcMar>
          </w:tcPr>
          <w:p w14:paraId="2A4E27FF"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 xml:space="preserve">% </w:t>
            </w:r>
            <w:proofErr w:type="gramStart"/>
            <w:r w:rsidRPr="00625F58">
              <w:rPr>
                <w:rFonts w:ascii="Times New Roman" w:eastAsia="Times New Roman" w:hAnsi="Times New Roman" w:cs="Times New Roman"/>
                <w:sz w:val="20"/>
                <w:szCs w:val="20"/>
                <w:lang w:eastAsia="en-GB"/>
              </w:rPr>
              <w:t>of</w:t>
            </w:r>
            <w:proofErr w:type="gramEnd"/>
            <w:r w:rsidRPr="00625F58">
              <w:rPr>
                <w:rFonts w:ascii="Times New Roman" w:eastAsia="Times New Roman" w:hAnsi="Times New Roman" w:cs="Times New Roman"/>
                <w:sz w:val="20"/>
                <w:szCs w:val="20"/>
                <w:lang w:eastAsia="en-GB"/>
              </w:rPr>
              <w:t xml:space="preserve"> the area per year</w:t>
            </w:r>
          </w:p>
        </w:tc>
        <w:tc>
          <w:tcPr>
            <w:tcW w:w="1982" w:type="dxa"/>
            <w:tcBorders>
              <w:bottom w:val="single" w:sz="4" w:space="0" w:color="00000A"/>
            </w:tcBorders>
            <w:shd w:val="clear" w:color="auto" w:fill="auto"/>
            <w:tcMar>
              <w:top w:w="0" w:type="dxa"/>
              <w:left w:w="108" w:type="dxa"/>
              <w:bottom w:w="0" w:type="dxa"/>
              <w:right w:w="108" w:type="dxa"/>
            </w:tcMar>
          </w:tcPr>
          <w:p w14:paraId="13612D8B"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 xml:space="preserve">% </w:t>
            </w:r>
            <w:proofErr w:type="gramStart"/>
            <w:r w:rsidRPr="00625F58">
              <w:rPr>
                <w:rFonts w:ascii="Times New Roman" w:eastAsia="Times New Roman" w:hAnsi="Times New Roman" w:cs="Times New Roman"/>
                <w:sz w:val="20"/>
                <w:szCs w:val="20"/>
                <w:lang w:eastAsia="en-GB"/>
              </w:rPr>
              <w:t>of</w:t>
            </w:r>
            <w:proofErr w:type="gramEnd"/>
            <w:r w:rsidRPr="00625F58">
              <w:rPr>
                <w:rFonts w:ascii="Times New Roman" w:eastAsia="Times New Roman" w:hAnsi="Times New Roman" w:cs="Times New Roman"/>
                <w:sz w:val="20"/>
                <w:szCs w:val="20"/>
                <w:lang w:eastAsia="en-GB"/>
              </w:rPr>
              <w:t xml:space="preserve"> area</w:t>
            </w:r>
          </w:p>
        </w:tc>
        <w:tc>
          <w:tcPr>
            <w:tcW w:w="1721" w:type="dxa"/>
            <w:tcBorders>
              <w:bottom w:val="single" w:sz="4" w:space="0" w:color="00000A"/>
            </w:tcBorders>
            <w:shd w:val="clear" w:color="auto" w:fill="auto"/>
            <w:tcMar>
              <w:top w:w="0" w:type="dxa"/>
              <w:left w:w="108" w:type="dxa"/>
              <w:bottom w:w="0" w:type="dxa"/>
              <w:right w:w="108" w:type="dxa"/>
            </w:tcMar>
          </w:tcPr>
          <w:p w14:paraId="121CE10D" w14:textId="77777777" w:rsidR="003A3720" w:rsidRPr="00625F58" w:rsidRDefault="003A3720" w:rsidP="006F76F9">
            <w:pPr>
              <w:pStyle w:val="NormalWeb"/>
              <w:spacing w:before="0" w:after="0"/>
              <w:jc w:val="center"/>
            </w:pPr>
            <w:r w:rsidRPr="00625F58">
              <w:rPr>
                <w:sz w:val="20"/>
                <w:szCs w:val="20"/>
              </w:rPr>
              <w:t xml:space="preserve">% </w:t>
            </w:r>
            <w:proofErr w:type="gramStart"/>
            <w:r w:rsidRPr="00625F58">
              <w:rPr>
                <w:sz w:val="20"/>
                <w:szCs w:val="20"/>
              </w:rPr>
              <w:t>of</w:t>
            </w:r>
            <w:proofErr w:type="gramEnd"/>
            <w:r w:rsidRPr="00625F58">
              <w:rPr>
                <w:sz w:val="20"/>
                <w:szCs w:val="20"/>
              </w:rPr>
              <w:t xml:space="preserve"> the area per year</w:t>
            </w:r>
          </w:p>
        </w:tc>
      </w:tr>
      <w:tr w:rsidR="003A3720" w:rsidRPr="00625F58" w14:paraId="758CEB7E" w14:textId="77777777" w:rsidTr="006F76F9">
        <w:tc>
          <w:tcPr>
            <w:tcW w:w="1954" w:type="dxa"/>
            <w:tcBorders>
              <w:top w:val="single" w:sz="4" w:space="0" w:color="00000A"/>
            </w:tcBorders>
            <w:shd w:val="clear" w:color="auto" w:fill="auto"/>
            <w:tcMar>
              <w:top w:w="0" w:type="dxa"/>
              <w:left w:w="108" w:type="dxa"/>
              <w:bottom w:w="0" w:type="dxa"/>
              <w:right w:w="108" w:type="dxa"/>
            </w:tcMar>
            <w:vAlign w:val="center"/>
          </w:tcPr>
          <w:p w14:paraId="05A66F46" w14:textId="77777777" w:rsidR="003A3720" w:rsidRPr="00625F58" w:rsidRDefault="003A3720" w:rsidP="006F76F9">
            <w:r w:rsidRPr="00625F58">
              <w:rPr>
                <w:rFonts w:ascii="Times New Roman" w:eastAsia="Times New Roman" w:hAnsi="Times New Roman" w:cs="Times New Roman"/>
                <w:sz w:val="20"/>
                <w:szCs w:val="20"/>
                <w:lang w:eastAsia="en-GB"/>
              </w:rPr>
              <w:t>1988-1990</w:t>
            </w:r>
          </w:p>
        </w:tc>
        <w:tc>
          <w:tcPr>
            <w:tcW w:w="1867" w:type="dxa"/>
            <w:tcBorders>
              <w:top w:val="single" w:sz="4" w:space="0" w:color="00000A"/>
            </w:tcBorders>
            <w:shd w:val="clear" w:color="auto" w:fill="auto"/>
            <w:tcMar>
              <w:top w:w="0" w:type="dxa"/>
              <w:left w:w="108" w:type="dxa"/>
              <w:bottom w:w="0" w:type="dxa"/>
              <w:right w:w="108" w:type="dxa"/>
            </w:tcMar>
            <w:vAlign w:val="center"/>
          </w:tcPr>
          <w:p w14:paraId="5D0778D1"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1.5</w:t>
            </w:r>
          </w:p>
        </w:tc>
        <w:tc>
          <w:tcPr>
            <w:tcW w:w="1983" w:type="dxa"/>
            <w:tcBorders>
              <w:top w:val="single" w:sz="4" w:space="0" w:color="00000A"/>
            </w:tcBorders>
            <w:shd w:val="clear" w:color="auto" w:fill="auto"/>
            <w:tcMar>
              <w:top w:w="0" w:type="dxa"/>
              <w:left w:w="108" w:type="dxa"/>
              <w:bottom w:w="0" w:type="dxa"/>
              <w:right w:w="108" w:type="dxa"/>
            </w:tcMar>
            <w:vAlign w:val="center"/>
          </w:tcPr>
          <w:p w14:paraId="02B2C019"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0.5</w:t>
            </w:r>
          </w:p>
        </w:tc>
        <w:tc>
          <w:tcPr>
            <w:tcW w:w="1982" w:type="dxa"/>
            <w:tcBorders>
              <w:top w:val="single" w:sz="4" w:space="0" w:color="00000A"/>
            </w:tcBorders>
            <w:shd w:val="clear" w:color="auto" w:fill="auto"/>
            <w:tcMar>
              <w:top w:w="0" w:type="dxa"/>
              <w:left w:w="108" w:type="dxa"/>
              <w:bottom w:w="0" w:type="dxa"/>
              <w:right w:w="108" w:type="dxa"/>
            </w:tcMar>
            <w:vAlign w:val="center"/>
          </w:tcPr>
          <w:p w14:paraId="1E802E37" w14:textId="77777777" w:rsidR="003A3720" w:rsidRPr="00625F58" w:rsidRDefault="003A3720" w:rsidP="006F76F9">
            <w:pPr>
              <w:pStyle w:val="NormalWeb"/>
              <w:spacing w:before="0" w:after="0"/>
              <w:jc w:val="center"/>
            </w:pPr>
            <w:r w:rsidRPr="00625F58">
              <w:rPr>
                <w:sz w:val="20"/>
                <w:szCs w:val="20"/>
              </w:rPr>
              <w:t>2.1</w:t>
            </w:r>
          </w:p>
        </w:tc>
        <w:tc>
          <w:tcPr>
            <w:tcW w:w="1721" w:type="dxa"/>
            <w:tcBorders>
              <w:top w:val="single" w:sz="4" w:space="0" w:color="00000A"/>
            </w:tcBorders>
            <w:shd w:val="clear" w:color="auto" w:fill="auto"/>
            <w:tcMar>
              <w:top w:w="0" w:type="dxa"/>
              <w:left w:w="108" w:type="dxa"/>
              <w:bottom w:w="0" w:type="dxa"/>
              <w:right w:w="108" w:type="dxa"/>
            </w:tcMar>
            <w:vAlign w:val="center"/>
          </w:tcPr>
          <w:p w14:paraId="3679B120" w14:textId="77777777" w:rsidR="003A3720" w:rsidRPr="00625F58" w:rsidRDefault="003A3720" w:rsidP="006F76F9">
            <w:pPr>
              <w:pStyle w:val="NormalWeb"/>
              <w:spacing w:before="0" w:after="0"/>
              <w:jc w:val="center"/>
            </w:pPr>
            <w:r w:rsidRPr="00625F58">
              <w:rPr>
                <w:sz w:val="20"/>
                <w:szCs w:val="20"/>
              </w:rPr>
              <w:t>0.7</w:t>
            </w:r>
          </w:p>
        </w:tc>
      </w:tr>
      <w:tr w:rsidR="003A3720" w:rsidRPr="00625F58" w14:paraId="47844EBE" w14:textId="77777777" w:rsidTr="006F76F9">
        <w:tc>
          <w:tcPr>
            <w:tcW w:w="1954" w:type="dxa"/>
            <w:tcBorders>
              <w:bottom w:val="nil"/>
            </w:tcBorders>
            <w:shd w:val="clear" w:color="auto" w:fill="auto"/>
            <w:tcMar>
              <w:top w:w="0" w:type="dxa"/>
              <w:left w:w="108" w:type="dxa"/>
              <w:bottom w:w="0" w:type="dxa"/>
              <w:right w:w="108" w:type="dxa"/>
            </w:tcMar>
            <w:vAlign w:val="center"/>
          </w:tcPr>
          <w:p w14:paraId="3A333CEE" w14:textId="77777777" w:rsidR="003A3720" w:rsidRPr="00625F58" w:rsidRDefault="003A3720" w:rsidP="006F76F9">
            <w:r w:rsidRPr="00625F58">
              <w:rPr>
                <w:rFonts w:ascii="Times New Roman" w:eastAsia="Times New Roman" w:hAnsi="Times New Roman" w:cs="Times New Roman"/>
                <w:sz w:val="20"/>
                <w:szCs w:val="20"/>
                <w:lang w:eastAsia="en-GB"/>
              </w:rPr>
              <w:t>1991-1995</w:t>
            </w:r>
          </w:p>
        </w:tc>
        <w:tc>
          <w:tcPr>
            <w:tcW w:w="1867" w:type="dxa"/>
            <w:tcBorders>
              <w:bottom w:val="nil"/>
            </w:tcBorders>
            <w:shd w:val="clear" w:color="auto" w:fill="auto"/>
            <w:tcMar>
              <w:top w:w="0" w:type="dxa"/>
              <w:left w:w="108" w:type="dxa"/>
              <w:bottom w:w="0" w:type="dxa"/>
              <w:right w:w="108" w:type="dxa"/>
            </w:tcMar>
            <w:vAlign w:val="center"/>
          </w:tcPr>
          <w:p w14:paraId="5AB54F8D"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6.2</w:t>
            </w:r>
          </w:p>
        </w:tc>
        <w:tc>
          <w:tcPr>
            <w:tcW w:w="1983" w:type="dxa"/>
            <w:tcBorders>
              <w:bottom w:val="nil"/>
            </w:tcBorders>
            <w:shd w:val="clear" w:color="auto" w:fill="auto"/>
            <w:tcMar>
              <w:top w:w="0" w:type="dxa"/>
              <w:left w:w="108" w:type="dxa"/>
              <w:bottom w:w="0" w:type="dxa"/>
              <w:right w:w="108" w:type="dxa"/>
            </w:tcMar>
            <w:vAlign w:val="center"/>
          </w:tcPr>
          <w:p w14:paraId="78B9ACEF"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1.2</w:t>
            </w:r>
          </w:p>
        </w:tc>
        <w:tc>
          <w:tcPr>
            <w:tcW w:w="1982" w:type="dxa"/>
            <w:tcBorders>
              <w:bottom w:val="nil"/>
            </w:tcBorders>
            <w:shd w:val="clear" w:color="auto" w:fill="auto"/>
            <w:tcMar>
              <w:top w:w="0" w:type="dxa"/>
              <w:left w:w="108" w:type="dxa"/>
              <w:bottom w:w="0" w:type="dxa"/>
              <w:right w:w="108" w:type="dxa"/>
            </w:tcMar>
            <w:vAlign w:val="center"/>
          </w:tcPr>
          <w:p w14:paraId="062C4F6E" w14:textId="77777777" w:rsidR="003A3720" w:rsidRPr="00625F58" w:rsidRDefault="003A3720" w:rsidP="006F76F9">
            <w:pPr>
              <w:pStyle w:val="NormalWeb"/>
              <w:spacing w:before="0" w:after="0"/>
              <w:jc w:val="center"/>
            </w:pPr>
            <w:r w:rsidRPr="00625F58">
              <w:rPr>
                <w:sz w:val="20"/>
                <w:szCs w:val="20"/>
              </w:rPr>
              <w:t>9.0</w:t>
            </w:r>
          </w:p>
        </w:tc>
        <w:tc>
          <w:tcPr>
            <w:tcW w:w="1721" w:type="dxa"/>
            <w:tcBorders>
              <w:bottom w:val="nil"/>
            </w:tcBorders>
            <w:shd w:val="clear" w:color="auto" w:fill="auto"/>
            <w:tcMar>
              <w:top w:w="0" w:type="dxa"/>
              <w:left w:w="108" w:type="dxa"/>
              <w:bottom w:w="0" w:type="dxa"/>
              <w:right w:w="108" w:type="dxa"/>
            </w:tcMar>
            <w:vAlign w:val="center"/>
          </w:tcPr>
          <w:p w14:paraId="6CEFD326" w14:textId="77777777" w:rsidR="003A3720" w:rsidRPr="00625F58" w:rsidRDefault="003A3720" w:rsidP="006F76F9">
            <w:pPr>
              <w:pStyle w:val="NormalWeb"/>
              <w:spacing w:before="0" w:after="0"/>
              <w:jc w:val="center"/>
            </w:pPr>
            <w:r w:rsidRPr="00625F58">
              <w:rPr>
                <w:sz w:val="20"/>
                <w:szCs w:val="20"/>
              </w:rPr>
              <w:t>1.8</w:t>
            </w:r>
          </w:p>
        </w:tc>
      </w:tr>
      <w:tr w:rsidR="003A3720" w:rsidRPr="00625F58" w14:paraId="38CD0A18" w14:textId="77777777" w:rsidTr="006F76F9">
        <w:tc>
          <w:tcPr>
            <w:tcW w:w="1954" w:type="dxa"/>
            <w:tcBorders>
              <w:top w:val="nil"/>
            </w:tcBorders>
            <w:shd w:val="clear" w:color="auto" w:fill="auto"/>
            <w:tcMar>
              <w:top w:w="0" w:type="dxa"/>
              <w:left w:w="108" w:type="dxa"/>
              <w:bottom w:w="0" w:type="dxa"/>
              <w:right w:w="108" w:type="dxa"/>
            </w:tcMar>
            <w:vAlign w:val="center"/>
          </w:tcPr>
          <w:p w14:paraId="39CDA544" w14:textId="77777777" w:rsidR="003A3720" w:rsidRPr="00625F58" w:rsidRDefault="003A3720" w:rsidP="006F76F9">
            <w:r w:rsidRPr="00625F58">
              <w:rPr>
                <w:rFonts w:ascii="Times New Roman" w:eastAsia="Times New Roman" w:hAnsi="Times New Roman" w:cs="Times New Roman"/>
                <w:sz w:val="20"/>
                <w:szCs w:val="20"/>
                <w:lang w:eastAsia="en-GB"/>
              </w:rPr>
              <w:t>1996-1999</w:t>
            </w:r>
          </w:p>
        </w:tc>
        <w:tc>
          <w:tcPr>
            <w:tcW w:w="1867" w:type="dxa"/>
            <w:tcBorders>
              <w:top w:val="nil"/>
            </w:tcBorders>
            <w:shd w:val="clear" w:color="auto" w:fill="auto"/>
            <w:tcMar>
              <w:top w:w="0" w:type="dxa"/>
              <w:left w:w="108" w:type="dxa"/>
              <w:bottom w:w="0" w:type="dxa"/>
              <w:right w:w="108" w:type="dxa"/>
            </w:tcMar>
            <w:vAlign w:val="center"/>
          </w:tcPr>
          <w:p w14:paraId="2149FE2B"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4.1</w:t>
            </w:r>
          </w:p>
        </w:tc>
        <w:tc>
          <w:tcPr>
            <w:tcW w:w="1983" w:type="dxa"/>
            <w:tcBorders>
              <w:top w:val="nil"/>
            </w:tcBorders>
            <w:shd w:val="clear" w:color="auto" w:fill="auto"/>
            <w:tcMar>
              <w:top w:w="0" w:type="dxa"/>
              <w:left w:w="108" w:type="dxa"/>
              <w:bottom w:w="0" w:type="dxa"/>
              <w:right w:w="108" w:type="dxa"/>
            </w:tcMar>
            <w:vAlign w:val="center"/>
          </w:tcPr>
          <w:p w14:paraId="2EA870A5"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1.0</w:t>
            </w:r>
          </w:p>
        </w:tc>
        <w:tc>
          <w:tcPr>
            <w:tcW w:w="1982" w:type="dxa"/>
            <w:tcBorders>
              <w:top w:val="nil"/>
            </w:tcBorders>
            <w:shd w:val="clear" w:color="auto" w:fill="auto"/>
            <w:tcMar>
              <w:top w:w="0" w:type="dxa"/>
              <w:left w:w="108" w:type="dxa"/>
              <w:bottom w:w="0" w:type="dxa"/>
              <w:right w:w="108" w:type="dxa"/>
            </w:tcMar>
            <w:vAlign w:val="center"/>
          </w:tcPr>
          <w:p w14:paraId="0EF62630" w14:textId="77777777" w:rsidR="003A3720" w:rsidRPr="00625F58" w:rsidRDefault="003A3720" w:rsidP="006F76F9">
            <w:pPr>
              <w:pStyle w:val="NormalWeb"/>
              <w:spacing w:before="0" w:after="0"/>
              <w:jc w:val="center"/>
            </w:pPr>
            <w:r w:rsidRPr="00625F58">
              <w:rPr>
                <w:sz w:val="20"/>
                <w:szCs w:val="20"/>
              </w:rPr>
              <w:t>5.9</w:t>
            </w:r>
          </w:p>
        </w:tc>
        <w:tc>
          <w:tcPr>
            <w:tcW w:w="1721" w:type="dxa"/>
            <w:tcBorders>
              <w:top w:val="nil"/>
            </w:tcBorders>
            <w:shd w:val="clear" w:color="auto" w:fill="auto"/>
            <w:tcMar>
              <w:top w:w="0" w:type="dxa"/>
              <w:left w:w="108" w:type="dxa"/>
              <w:bottom w:w="0" w:type="dxa"/>
              <w:right w:w="108" w:type="dxa"/>
            </w:tcMar>
            <w:vAlign w:val="center"/>
          </w:tcPr>
          <w:p w14:paraId="1423B46A" w14:textId="77777777" w:rsidR="003A3720" w:rsidRPr="00625F58" w:rsidRDefault="003A3720" w:rsidP="006F76F9">
            <w:pPr>
              <w:pStyle w:val="NormalWeb"/>
              <w:spacing w:before="0" w:after="0"/>
              <w:jc w:val="center"/>
            </w:pPr>
            <w:r w:rsidRPr="00625F58">
              <w:rPr>
                <w:sz w:val="20"/>
                <w:szCs w:val="20"/>
              </w:rPr>
              <w:t>1.5</w:t>
            </w:r>
          </w:p>
        </w:tc>
      </w:tr>
      <w:tr w:rsidR="003A3720" w:rsidRPr="00625F58" w14:paraId="514D9310" w14:textId="77777777" w:rsidTr="006F76F9">
        <w:tc>
          <w:tcPr>
            <w:tcW w:w="1954" w:type="dxa"/>
            <w:tcBorders>
              <w:top w:val="nil"/>
            </w:tcBorders>
            <w:shd w:val="clear" w:color="auto" w:fill="auto"/>
            <w:tcMar>
              <w:top w:w="0" w:type="dxa"/>
              <w:left w:w="108" w:type="dxa"/>
              <w:bottom w:w="0" w:type="dxa"/>
              <w:right w:w="108" w:type="dxa"/>
            </w:tcMar>
            <w:vAlign w:val="center"/>
          </w:tcPr>
          <w:p w14:paraId="2D090E6A" w14:textId="77777777" w:rsidR="003A3720" w:rsidRPr="00625F58" w:rsidRDefault="003A3720" w:rsidP="006F76F9">
            <w:r w:rsidRPr="00625F58">
              <w:rPr>
                <w:rFonts w:ascii="Times New Roman" w:eastAsia="Times New Roman" w:hAnsi="Times New Roman" w:cs="Times New Roman"/>
                <w:sz w:val="20"/>
                <w:szCs w:val="20"/>
                <w:lang w:eastAsia="en-GB"/>
              </w:rPr>
              <w:t>2000-2002</w:t>
            </w:r>
          </w:p>
        </w:tc>
        <w:tc>
          <w:tcPr>
            <w:tcW w:w="1867" w:type="dxa"/>
            <w:tcBorders>
              <w:top w:val="nil"/>
            </w:tcBorders>
            <w:shd w:val="clear" w:color="auto" w:fill="auto"/>
            <w:tcMar>
              <w:top w:w="0" w:type="dxa"/>
              <w:left w:w="108" w:type="dxa"/>
              <w:bottom w:w="0" w:type="dxa"/>
              <w:right w:w="108" w:type="dxa"/>
            </w:tcMar>
            <w:vAlign w:val="center"/>
          </w:tcPr>
          <w:p w14:paraId="4F7ACE3A"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4.9</w:t>
            </w:r>
          </w:p>
        </w:tc>
        <w:tc>
          <w:tcPr>
            <w:tcW w:w="1983" w:type="dxa"/>
            <w:tcBorders>
              <w:top w:val="nil"/>
            </w:tcBorders>
            <w:shd w:val="clear" w:color="auto" w:fill="auto"/>
            <w:tcMar>
              <w:top w:w="0" w:type="dxa"/>
              <w:left w:w="108" w:type="dxa"/>
              <w:bottom w:w="0" w:type="dxa"/>
              <w:right w:w="108" w:type="dxa"/>
            </w:tcMar>
            <w:vAlign w:val="center"/>
          </w:tcPr>
          <w:p w14:paraId="3546591E"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1.6</w:t>
            </w:r>
          </w:p>
        </w:tc>
        <w:tc>
          <w:tcPr>
            <w:tcW w:w="1982" w:type="dxa"/>
            <w:tcBorders>
              <w:top w:val="nil"/>
            </w:tcBorders>
            <w:shd w:val="clear" w:color="auto" w:fill="auto"/>
            <w:tcMar>
              <w:top w:w="0" w:type="dxa"/>
              <w:left w:w="108" w:type="dxa"/>
              <w:bottom w:w="0" w:type="dxa"/>
              <w:right w:w="108" w:type="dxa"/>
            </w:tcMar>
            <w:vAlign w:val="center"/>
          </w:tcPr>
          <w:p w14:paraId="66D5A9C4" w14:textId="77777777" w:rsidR="003A3720" w:rsidRPr="00625F58" w:rsidRDefault="003A3720" w:rsidP="006F76F9">
            <w:pPr>
              <w:pStyle w:val="NormalWeb"/>
              <w:spacing w:before="0" w:after="0"/>
              <w:jc w:val="center"/>
            </w:pPr>
            <w:r w:rsidRPr="00625F58">
              <w:rPr>
                <w:rFonts w:eastAsia="Calibri"/>
                <w:sz w:val="20"/>
                <w:szCs w:val="20"/>
              </w:rPr>
              <w:t>7.1</w:t>
            </w:r>
          </w:p>
        </w:tc>
        <w:tc>
          <w:tcPr>
            <w:tcW w:w="1721" w:type="dxa"/>
            <w:tcBorders>
              <w:top w:val="nil"/>
            </w:tcBorders>
            <w:shd w:val="clear" w:color="auto" w:fill="auto"/>
            <w:tcMar>
              <w:top w:w="0" w:type="dxa"/>
              <w:left w:w="108" w:type="dxa"/>
              <w:bottom w:w="0" w:type="dxa"/>
              <w:right w:w="108" w:type="dxa"/>
            </w:tcMar>
            <w:vAlign w:val="center"/>
          </w:tcPr>
          <w:p w14:paraId="2DDEA430" w14:textId="77777777" w:rsidR="003A3720" w:rsidRPr="00625F58" w:rsidRDefault="003A3720" w:rsidP="006F76F9">
            <w:pPr>
              <w:pStyle w:val="NormalWeb"/>
              <w:spacing w:before="0" w:after="0"/>
              <w:jc w:val="center"/>
            </w:pPr>
            <w:r w:rsidRPr="00625F58">
              <w:rPr>
                <w:rFonts w:eastAsia="Calibri"/>
                <w:sz w:val="20"/>
                <w:szCs w:val="20"/>
              </w:rPr>
              <w:t>2.4</w:t>
            </w:r>
          </w:p>
        </w:tc>
      </w:tr>
      <w:tr w:rsidR="003A3720" w:rsidRPr="00625F58" w14:paraId="11C456E5" w14:textId="77777777" w:rsidTr="006F76F9">
        <w:tc>
          <w:tcPr>
            <w:tcW w:w="1954" w:type="dxa"/>
            <w:tcBorders>
              <w:top w:val="nil"/>
            </w:tcBorders>
            <w:shd w:val="clear" w:color="auto" w:fill="auto"/>
            <w:tcMar>
              <w:top w:w="0" w:type="dxa"/>
              <w:left w:w="108" w:type="dxa"/>
              <w:bottom w:w="0" w:type="dxa"/>
              <w:right w:w="108" w:type="dxa"/>
            </w:tcMar>
            <w:vAlign w:val="center"/>
          </w:tcPr>
          <w:p w14:paraId="280FAD8C" w14:textId="77777777" w:rsidR="003A3720" w:rsidRPr="00625F58" w:rsidRDefault="003A3720" w:rsidP="006F76F9">
            <w:r w:rsidRPr="00625F58">
              <w:rPr>
                <w:rFonts w:ascii="Times New Roman" w:eastAsia="Times New Roman" w:hAnsi="Times New Roman" w:cs="Times New Roman"/>
                <w:sz w:val="20"/>
                <w:szCs w:val="20"/>
                <w:lang w:eastAsia="en-GB"/>
              </w:rPr>
              <w:t>2003-2005</w:t>
            </w:r>
          </w:p>
        </w:tc>
        <w:tc>
          <w:tcPr>
            <w:tcW w:w="1867" w:type="dxa"/>
            <w:tcBorders>
              <w:top w:val="nil"/>
            </w:tcBorders>
            <w:shd w:val="clear" w:color="auto" w:fill="auto"/>
            <w:tcMar>
              <w:top w:w="0" w:type="dxa"/>
              <w:left w:w="108" w:type="dxa"/>
              <w:bottom w:w="0" w:type="dxa"/>
              <w:right w:w="108" w:type="dxa"/>
            </w:tcMar>
            <w:vAlign w:val="center"/>
          </w:tcPr>
          <w:p w14:paraId="7C819A70"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2.5(2.4)</w:t>
            </w:r>
          </w:p>
        </w:tc>
        <w:tc>
          <w:tcPr>
            <w:tcW w:w="1983" w:type="dxa"/>
            <w:tcBorders>
              <w:top w:val="nil"/>
            </w:tcBorders>
            <w:shd w:val="clear" w:color="auto" w:fill="auto"/>
            <w:tcMar>
              <w:top w:w="0" w:type="dxa"/>
              <w:left w:w="108" w:type="dxa"/>
              <w:bottom w:w="0" w:type="dxa"/>
              <w:right w:w="108" w:type="dxa"/>
            </w:tcMar>
            <w:vAlign w:val="center"/>
          </w:tcPr>
          <w:p w14:paraId="130EBEF0"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0.8(0.8)</w:t>
            </w:r>
          </w:p>
        </w:tc>
        <w:tc>
          <w:tcPr>
            <w:tcW w:w="1982" w:type="dxa"/>
            <w:tcBorders>
              <w:top w:val="nil"/>
            </w:tcBorders>
            <w:shd w:val="clear" w:color="auto" w:fill="auto"/>
            <w:tcMar>
              <w:top w:w="0" w:type="dxa"/>
              <w:left w:w="108" w:type="dxa"/>
              <w:bottom w:w="0" w:type="dxa"/>
              <w:right w:w="108" w:type="dxa"/>
            </w:tcMar>
            <w:vAlign w:val="center"/>
          </w:tcPr>
          <w:p w14:paraId="37BFC798" w14:textId="77777777" w:rsidR="003A3720" w:rsidRPr="00625F58" w:rsidRDefault="003A3720" w:rsidP="006F76F9">
            <w:pPr>
              <w:pStyle w:val="NormalWeb"/>
              <w:spacing w:before="0" w:after="0"/>
              <w:jc w:val="center"/>
            </w:pPr>
            <w:r w:rsidRPr="00625F58">
              <w:rPr>
                <w:sz w:val="20"/>
                <w:szCs w:val="20"/>
              </w:rPr>
              <w:t>3.7(3.4)</w:t>
            </w:r>
          </w:p>
        </w:tc>
        <w:tc>
          <w:tcPr>
            <w:tcW w:w="1721" w:type="dxa"/>
            <w:tcBorders>
              <w:top w:val="nil"/>
            </w:tcBorders>
            <w:shd w:val="clear" w:color="auto" w:fill="auto"/>
            <w:tcMar>
              <w:top w:w="0" w:type="dxa"/>
              <w:left w:w="108" w:type="dxa"/>
              <w:bottom w:w="0" w:type="dxa"/>
              <w:right w:w="108" w:type="dxa"/>
            </w:tcMar>
            <w:vAlign w:val="center"/>
          </w:tcPr>
          <w:p w14:paraId="5358D3DB" w14:textId="77777777" w:rsidR="003A3720" w:rsidRPr="00625F58" w:rsidRDefault="003A3720" w:rsidP="006F76F9">
            <w:pPr>
              <w:pStyle w:val="NormalWeb"/>
              <w:spacing w:before="0" w:after="0"/>
              <w:jc w:val="center"/>
            </w:pPr>
            <w:r w:rsidRPr="00625F58">
              <w:rPr>
                <w:sz w:val="20"/>
                <w:szCs w:val="20"/>
              </w:rPr>
              <w:t>1.2(1.1)</w:t>
            </w:r>
          </w:p>
        </w:tc>
      </w:tr>
      <w:tr w:rsidR="003A3720" w:rsidRPr="00625F58" w14:paraId="5ACCFD79" w14:textId="77777777" w:rsidTr="006F76F9">
        <w:tc>
          <w:tcPr>
            <w:tcW w:w="1954" w:type="dxa"/>
            <w:tcBorders>
              <w:top w:val="nil"/>
              <w:bottom w:val="nil"/>
            </w:tcBorders>
            <w:shd w:val="clear" w:color="auto" w:fill="auto"/>
            <w:tcMar>
              <w:top w:w="0" w:type="dxa"/>
              <w:left w:w="108" w:type="dxa"/>
              <w:bottom w:w="0" w:type="dxa"/>
              <w:right w:w="108" w:type="dxa"/>
            </w:tcMar>
            <w:vAlign w:val="center"/>
          </w:tcPr>
          <w:p w14:paraId="34465CF8" w14:textId="77777777" w:rsidR="003A3720" w:rsidRPr="00625F58" w:rsidRDefault="003A3720" w:rsidP="006F76F9">
            <w:r w:rsidRPr="00625F58">
              <w:rPr>
                <w:rFonts w:ascii="Times New Roman" w:eastAsia="Times New Roman" w:hAnsi="Times New Roman" w:cs="Times New Roman"/>
                <w:sz w:val="20"/>
                <w:szCs w:val="20"/>
                <w:lang w:eastAsia="en-GB"/>
              </w:rPr>
              <w:t>2006-2009</w:t>
            </w:r>
          </w:p>
        </w:tc>
        <w:tc>
          <w:tcPr>
            <w:tcW w:w="1867" w:type="dxa"/>
            <w:tcBorders>
              <w:top w:val="nil"/>
              <w:bottom w:val="nil"/>
            </w:tcBorders>
            <w:shd w:val="clear" w:color="auto" w:fill="auto"/>
            <w:tcMar>
              <w:top w:w="0" w:type="dxa"/>
              <w:left w:w="108" w:type="dxa"/>
              <w:bottom w:w="0" w:type="dxa"/>
              <w:right w:w="108" w:type="dxa"/>
            </w:tcMar>
            <w:vAlign w:val="center"/>
          </w:tcPr>
          <w:p w14:paraId="0A695E67"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6.5(6.4)</w:t>
            </w:r>
          </w:p>
        </w:tc>
        <w:tc>
          <w:tcPr>
            <w:tcW w:w="1983" w:type="dxa"/>
            <w:tcBorders>
              <w:top w:val="nil"/>
              <w:bottom w:val="nil"/>
            </w:tcBorders>
            <w:shd w:val="clear" w:color="auto" w:fill="auto"/>
            <w:tcMar>
              <w:top w:w="0" w:type="dxa"/>
              <w:left w:w="108" w:type="dxa"/>
              <w:bottom w:w="0" w:type="dxa"/>
              <w:right w:w="108" w:type="dxa"/>
            </w:tcMar>
            <w:vAlign w:val="center"/>
          </w:tcPr>
          <w:p w14:paraId="075753C3" w14:textId="77777777" w:rsidR="003A3720" w:rsidRPr="00625F58" w:rsidRDefault="003A3720" w:rsidP="006F76F9">
            <w:pPr>
              <w:jc w:val="center"/>
            </w:pPr>
            <w:r w:rsidRPr="00625F58">
              <w:rPr>
                <w:rFonts w:ascii="Times New Roman" w:eastAsia="Times New Roman" w:hAnsi="Times New Roman" w:cs="Times New Roman"/>
                <w:sz w:val="20"/>
                <w:szCs w:val="20"/>
                <w:lang w:eastAsia="en-GB"/>
              </w:rPr>
              <w:t>1.6(1.6)</w:t>
            </w:r>
          </w:p>
        </w:tc>
        <w:tc>
          <w:tcPr>
            <w:tcW w:w="1982" w:type="dxa"/>
            <w:tcBorders>
              <w:top w:val="nil"/>
              <w:bottom w:val="nil"/>
            </w:tcBorders>
            <w:shd w:val="clear" w:color="auto" w:fill="auto"/>
            <w:tcMar>
              <w:top w:w="0" w:type="dxa"/>
              <w:left w:w="108" w:type="dxa"/>
              <w:bottom w:w="0" w:type="dxa"/>
              <w:right w:w="108" w:type="dxa"/>
            </w:tcMar>
            <w:vAlign w:val="center"/>
          </w:tcPr>
          <w:p w14:paraId="3C35181D" w14:textId="77777777" w:rsidR="003A3720" w:rsidRPr="00625F58" w:rsidRDefault="003A3720" w:rsidP="006F76F9">
            <w:pPr>
              <w:pStyle w:val="NormalWeb"/>
              <w:spacing w:before="0" w:after="0"/>
              <w:jc w:val="center"/>
            </w:pPr>
            <w:r w:rsidRPr="00625F58">
              <w:rPr>
                <w:rFonts w:eastAsia="Calibri"/>
                <w:sz w:val="20"/>
                <w:szCs w:val="20"/>
              </w:rPr>
              <w:t>9.5(9.3)</w:t>
            </w:r>
          </w:p>
        </w:tc>
        <w:tc>
          <w:tcPr>
            <w:tcW w:w="1721" w:type="dxa"/>
            <w:tcBorders>
              <w:top w:val="nil"/>
              <w:bottom w:val="nil"/>
            </w:tcBorders>
            <w:shd w:val="clear" w:color="auto" w:fill="auto"/>
            <w:tcMar>
              <w:top w:w="0" w:type="dxa"/>
              <w:left w:w="108" w:type="dxa"/>
              <w:bottom w:w="0" w:type="dxa"/>
              <w:right w:w="108" w:type="dxa"/>
            </w:tcMar>
            <w:vAlign w:val="center"/>
          </w:tcPr>
          <w:p w14:paraId="5BEAD3D2" w14:textId="77777777" w:rsidR="003A3720" w:rsidRPr="00625F58" w:rsidRDefault="003A3720" w:rsidP="006F76F9">
            <w:pPr>
              <w:pStyle w:val="NormalWeb"/>
              <w:spacing w:before="0" w:after="0"/>
              <w:jc w:val="center"/>
            </w:pPr>
            <w:r w:rsidRPr="00625F58">
              <w:rPr>
                <w:rFonts w:eastAsia="Calibri"/>
                <w:sz w:val="20"/>
                <w:szCs w:val="20"/>
              </w:rPr>
              <w:t>2.4(2.3)</w:t>
            </w:r>
          </w:p>
        </w:tc>
      </w:tr>
      <w:tr w:rsidR="003A3720" w:rsidRPr="00625F58" w14:paraId="0DA78936" w14:textId="77777777" w:rsidTr="006F76F9">
        <w:tc>
          <w:tcPr>
            <w:tcW w:w="1954" w:type="dxa"/>
            <w:tcBorders>
              <w:top w:val="nil"/>
              <w:bottom w:val="nil"/>
            </w:tcBorders>
            <w:shd w:val="clear" w:color="auto" w:fill="auto"/>
            <w:tcMar>
              <w:top w:w="0" w:type="dxa"/>
              <w:left w:w="108" w:type="dxa"/>
              <w:bottom w:w="0" w:type="dxa"/>
              <w:right w:w="108" w:type="dxa"/>
            </w:tcMar>
            <w:vAlign w:val="center"/>
          </w:tcPr>
          <w:p w14:paraId="0524F12A" w14:textId="77777777" w:rsidR="003A3720" w:rsidRPr="00625F58" w:rsidRDefault="003A3720" w:rsidP="006F76F9">
            <w:pPr>
              <w:rPr>
                <w:rFonts w:ascii="Times New Roman" w:eastAsia="Times New Roman" w:hAnsi="Times New Roman" w:cs="Times New Roman"/>
                <w:sz w:val="20"/>
                <w:szCs w:val="20"/>
                <w:lang w:eastAsia="en-GB"/>
              </w:rPr>
            </w:pPr>
          </w:p>
        </w:tc>
        <w:tc>
          <w:tcPr>
            <w:tcW w:w="1867" w:type="dxa"/>
            <w:tcBorders>
              <w:top w:val="nil"/>
              <w:bottom w:val="nil"/>
            </w:tcBorders>
            <w:shd w:val="clear" w:color="auto" w:fill="auto"/>
            <w:tcMar>
              <w:top w:w="0" w:type="dxa"/>
              <w:left w:w="108" w:type="dxa"/>
              <w:bottom w:w="0" w:type="dxa"/>
              <w:right w:w="108" w:type="dxa"/>
            </w:tcMar>
            <w:vAlign w:val="center"/>
          </w:tcPr>
          <w:p w14:paraId="75448271"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983" w:type="dxa"/>
            <w:tcBorders>
              <w:top w:val="nil"/>
              <w:bottom w:val="nil"/>
            </w:tcBorders>
            <w:shd w:val="clear" w:color="auto" w:fill="auto"/>
            <w:tcMar>
              <w:top w:w="0" w:type="dxa"/>
              <w:left w:w="108" w:type="dxa"/>
              <w:bottom w:w="0" w:type="dxa"/>
              <w:right w:w="108" w:type="dxa"/>
            </w:tcMar>
            <w:vAlign w:val="center"/>
          </w:tcPr>
          <w:p w14:paraId="604D0D01" w14:textId="77777777" w:rsidR="003A3720" w:rsidRPr="00625F58" w:rsidRDefault="003A3720" w:rsidP="006F76F9">
            <w:pPr>
              <w:jc w:val="center"/>
              <w:rPr>
                <w:rFonts w:ascii="Times New Roman" w:eastAsia="Times New Roman" w:hAnsi="Times New Roman" w:cs="Times New Roman"/>
                <w:sz w:val="20"/>
                <w:szCs w:val="20"/>
                <w:lang w:eastAsia="en-GB"/>
              </w:rPr>
            </w:pPr>
          </w:p>
        </w:tc>
        <w:tc>
          <w:tcPr>
            <w:tcW w:w="1982" w:type="dxa"/>
            <w:tcBorders>
              <w:top w:val="nil"/>
              <w:bottom w:val="nil"/>
            </w:tcBorders>
            <w:shd w:val="clear" w:color="auto" w:fill="auto"/>
            <w:tcMar>
              <w:top w:w="0" w:type="dxa"/>
              <w:left w:w="108" w:type="dxa"/>
              <w:bottom w:w="0" w:type="dxa"/>
              <w:right w:w="108" w:type="dxa"/>
            </w:tcMar>
            <w:vAlign w:val="center"/>
          </w:tcPr>
          <w:p w14:paraId="06F8C532" w14:textId="77777777" w:rsidR="003A3720" w:rsidRPr="00625F58" w:rsidRDefault="003A3720" w:rsidP="006F76F9">
            <w:pPr>
              <w:pStyle w:val="NormalWeb"/>
              <w:spacing w:before="0" w:after="0"/>
              <w:jc w:val="center"/>
              <w:rPr>
                <w:rFonts w:eastAsia="Calibri"/>
                <w:sz w:val="20"/>
                <w:szCs w:val="20"/>
              </w:rPr>
            </w:pPr>
          </w:p>
        </w:tc>
        <w:tc>
          <w:tcPr>
            <w:tcW w:w="1721" w:type="dxa"/>
            <w:tcBorders>
              <w:top w:val="nil"/>
              <w:bottom w:val="nil"/>
            </w:tcBorders>
            <w:shd w:val="clear" w:color="auto" w:fill="auto"/>
            <w:tcMar>
              <w:top w:w="0" w:type="dxa"/>
              <w:left w:w="108" w:type="dxa"/>
              <w:bottom w:w="0" w:type="dxa"/>
              <w:right w:w="108" w:type="dxa"/>
            </w:tcMar>
            <w:vAlign w:val="center"/>
          </w:tcPr>
          <w:p w14:paraId="10B1BCE0" w14:textId="77777777" w:rsidR="003A3720" w:rsidRPr="00625F58" w:rsidRDefault="003A3720" w:rsidP="006F76F9">
            <w:pPr>
              <w:pStyle w:val="NormalWeb"/>
              <w:spacing w:before="0" w:after="0"/>
              <w:jc w:val="center"/>
              <w:rPr>
                <w:rFonts w:eastAsia="Calibri"/>
                <w:sz w:val="20"/>
                <w:szCs w:val="20"/>
              </w:rPr>
            </w:pPr>
          </w:p>
        </w:tc>
      </w:tr>
      <w:tr w:rsidR="003A3720" w:rsidRPr="00625F58" w14:paraId="192B0DFC" w14:textId="77777777" w:rsidTr="006F76F9">
        <w:tc>
          <w:tcPr>
            <w:tcW w:w="1954" w:type="dxa"/>
            <w:tcBorders>
              <w:top w:val="nil"/>
              <w:bottom w:val="single" w:sz="4" w:space="0" w:color="auto"/>
            </w:tcBorders>
            <w:shd w:val="clear" w:color="auto" w:fill="auto"/>
            <w:tcMar>
              <w:top w:w="0" w:type="dxa"/>
              <w:left w:w="108" w:type="dxa"/>
              <w:bottom w:w="0" w:type="dxa"/>
              <w:right w:w="108" w:type="dxa"/>
            </w:tcMar>
            <w:vAlign w:val="center"/>
          </w:tcPr>
          <w:p w14:paraId="6F479A0E" w14:textId="77777777" w:rsidR="003A3720" w:rsidRPr="00625F58" w:rsidRDefault="003A3720" w:rsidP="006F76F9">
            <w:pP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 xml:space="preserve">All </w:t>
            </w:r>
            <w:proofErr w:type="spellStart"/>
            <w:r w:rsidRPr="00625F58">
              <w:rPr>
                <w:rFonts w:ascii="Times New Roman" w:eastAsia="Times New Roman" w:hAnsi="Times New Roman" w:cs="Times New Roman"/>
                <w:sz w:val="20"/>
                <w:szCs w:val="20"/>
                <w:lang w:eastAsia="en-GB"/>
              </w:rPr>
              <w:t>years</w:t>
            </w:r>
            <w:r w:rsidRPr="00625F58">
              <w:rPr>
                <w:rFonts w:ascii="Times New Roman" w:eastAsia="Times New Roman" w:hAnsi="Times New Roman" w:cs="Times New Roman"/>
                <w:sz w:val="20"/>
                <w:szCs w:val="20"/>
                <w:vertAlign w:val="superscript"/>
                <w:lang w:eastAsia="en-GB"/>
              </w:rPr>
              <w:t>d</w:t>
            </w:r>
            <w:proofErr w:type="spellEnd"/>
          </w:p>
        </w:tc>
        <w:tc>
          <w:tcPr>
            <w:tcW w:w="1867" w:type="dxa"/>
            <w:tcBorders>
              <w:top w:val="nil"/>
              <w:bottom w:val="single" w:sz="4" w:space="0" w:color="auto"/>
            </w:tcBorders>
            <w:shd w:val="clear" w:color="auto" w:fill="auto"/>
            <w:tcMar>
              <w:top w:w="0" w:type="dxa"/>
              <w:left w:w="108" w:type="dxa"/>
              <w:bottom w:w="0" w:type="dxa"/>
              <w:right w:w="108" w:type="dxa"/>
            </w:tcMar>
            <w:vAlign w:val="center"/>
          </w:tcPr>
          <w:p w14:paraId="28EE0931"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19.9</w:t>
            </w:r>
          </w:p>
        </w:tc>
        <w:tc>
          <w:tcPr>
            <w:tcW w:w="1983" w:type="dxa"/>
            <w:tcBorders>
              <w:top w:val="nil"/>
              <w:bottom w:val="single" w:sz="4" w:space="0" w:color="auto"/>
            </w:tcBorders>
            <w:shd w:val="clear" w:color="auto" w:fill="auto"/>
            <w:tcMar>
              <w:top w:w="0" w:type="dxa"/>
              <w:left w:w="108" w:type="dxa"/>
              <w:bottom w:w="0" w:type="dxa"/>
              <w:right w:w="108" w:type="dxa"/>
            </w:tcMar>
            <w:vAlign w:val="center"/>
          </w:tcPr>
          <w:p w14:paraId="4EE36B40" w14:textId="77777777" w:rsidR="003A3720" w:rsidRPr="00625F58" w:rsidRDefault="003A3720" w:rsidP="006F76F9">
            <w:pPr>
              <w:jc w:val="center"/>
              <w:rPr>
                <w:rFonts w:ascii="Times New Roman" w:eastAsia="Times New Roman" w:hAnsi="Times New Roman" w:cs="Times New Roman"/>
                <w:sz w:val="20"/>
                <w:szCs w:val="20"/>
                <w:lang w:eastAsia="en-GB"/>
              </w:rPr>
            </w:pPr>
            <w:r w:rsidRPr="00625F58">
              <w:rPr>
                <w:rFonts w:ascii="Times New Roman" w:eastAsia="Times New Roman" w:hAnsi="Times New Roman" w:cs="Times New Roman"/>
                <w:sz w:val="20"/>
                <w:szCs w:val="20"/>
                <w:lang w:eastAsia="en-GB"/>
              </w:rPr>
              <w:t>0.9</w:t>
            </w:r>
          </w:p>
        </w:tc>
        <w:tc>
          <w:tcPr>
            <w:tcW w:w="1982" w:type="dxa"/>
            <w:tcBorders>
              <w:top w:val="nil"/>
              <w:bottom w:val="single" w:sz="4" w:space="0" w:color="auto"/>
            </w:tcBorders>
            <w:shd w:val="clear" w:color="auto" w:fill="auto"/>
            <w:tcMar>
              <w:top w:w="0" w:type="dxa"/>
              <w:left w:w="108" w:type="dxa"/>
              <w:bottom w:w="0" w:type="dxa"/>
              <w:right w:w="108" w:type="dxa"/>
            </w:tcMar>
            <w:vAlign w:val="center"/>
          </w:tcPr>
          <w:p w14:paraId="059656E9" w14:textId="77777777" w:rsidR="003A3720" w:rsidRPr="00625F58" w:rsidRDefault="003A3720" w:rsidP="006F76F9">
            <w:pPr>
              <w:pStyle w:val="NormalWeb"/>
              <w:spacing w:before="0" w:after="0"/>
              <w:jc w:val="center"/>
              <w:rPr>
                <w:rFonts w:eastAsia="Calibri"/>
                <w:sz w:val="20"/>
                <w:szCs w:val="20"/>
              </w:rPr>
            </w:pPr>
            <w:r w:rsidRPr="00625F58">
              <w:rPr>
                <w:rFonts w:eastAsia="Calibri"/>
                <w:sz w:val="20"/>
                <w:szCs w:val="20"/>
              </w:rPr>
              <w:t>28.9</w:t>
            </w:r>
          </w:p>
        </w:tc>
        <w:tc>
          <w:tcPr>
            <w:tcW w:w="1721" w:type="dxa"/>
            <w:tcBorders>
              <w:top w:val="nil"/>
              <w:bottom w:val="single" w:sz="4" w:space="0" w:color="auto"/>
            </w:tcBorders>
            <w:shd w:val="clear" w:color="auto" w:fill="auto"/>
            <w:tcMar>
              <w:top w:w="0" w:type="dxa"/>
              <w:left w:w="108" w:type="dxa"/>
              <w:bottom w:w="0" w:type="dxa"/>
              <w:right w:w="108" w:type="dxa"/>
            </w:tcMar>
            <w:vAlign w:val="center"/>
          </w:tcPr>
          <w:p w14:paraId="7390E841" w14:textId="77777777" w:rsidR="003A3720" w:rsidRPr="00625F58" w:rsidRDefault="003A3720" w:rsidP="006F76F9">
            <w:pPr>
              <w:pStyle w:val="NormalWeb"/>
              <w:spacing w:before="0" w:after="0"/>
              <w:jc w:val="center"/>
              <w:rPr>
                <w:rFonts w:eastAsia="Calibri"/>
                <w:sz w:val="20"/>
                <w:szCs w:val="20"/>
              </w:rPr>
            </w:pPr>
            <w:r w:rsidRPr="00625F58">
              <w:rPr>
                <w:rFonts w:eastAsia="Calibri"/>
                <w:sz w:val="20"/>
                <w:szCs w:val="20"/>
              </w:rPr>
              <w:t>1.3</w:t>
            </w:r>
          </w:p>
        </w:tc>
      </w:tr>
    </w:tbl>
    <w:p w14:paraId="23C44681" w14:textId="77777777" w:rsidR="003A3720" w:rsidRPr="00625F58" w:rsidRDefault="003A3720" w:rsidP="003A3720"/>
    <w:p w14:paraId="3BD1810E" w14:textId="77777777" w:rsidR="003A3720" w:rsidRPr="00625F58" w:rsidRDefault="003A3720" w:rsidP="003A3720">
      <w:pPr>
        <w:autoSpaceDE w:val="0"/>
        <w:autoSpaceDN w:val="0"/>
        <w:adjustRightInd w:val="0"/>
        <w:rPr>
          <w:rFonts w:ascii="Arial-BoldMT" w:eastAsia="Arial-Black" w:hAnsi="Arial-BoldMT" w:cs="Arial-BoldMT"/>
          <w:b/>
          <w:bCs/>
          <w:sz w:val="20"/>
          <w:szCs w:val="20"/>
          <w:lang w:eastAsia="en-GB"/>
        </w:rPr>
      </w:pPr>
    </w:p>
    <w:p w14:paraId="6F50C6C8" w14:textId="77777777" w:rsidR="003A3720" w:rsidRPr="00625F58" w:rsidRDefault="003A3720" w:rsidP="003A3720">
      <w:pPr>
        <w:tabs>
          <w:tab w:val="left" w:pos="3095"/>
        </w:tabs>
        <w:jc w:val="both"/>
        <w:sectPr w:rsidR="003A3720" w:rsidRPr="00625F58">
          <w:pgSz w:w="11906" w:h="16838"/>
          <w:pgMar w:top="1440" w:right="873" w:bottom="1440" w:left="873" w:header="0" w:footer="0" w:gutter="0"/>
          <w:cols w:space="720"/>
          <w:formProt w:val="0"/>
          <w:docGrid w:linePitch="360" w:charSpace="4096"/>
        </w:sectPr>
      </w:pPr>
    </w:p>
    <w:p w14:paraId="08E6D88D" w14:textId="77777777" w:rsidR="003A3720" w:rsidRPr="00625F58" w:rsidRDefault="003A3720" w:rsidP="003A3720">
      <w:pPr>
        <w:tabs>
          <w:tab w:val="left" w:pos="3095"/>
        </w:tabs>
        <w:ind w:firstLine="284"/>
        <w:jc w:val="both"/>
      </w:pPr>
      <w:r w:rsidRPr="00625F58">
        <w:rPr>
          <w:rFonts w:ascii="Times New Roman" w:hAnsi="Times New Roman" w:cs="Times New Roman"/>
          <w:b/>
          <w:noProof/>
          <w:sz w:val="20"/>
          <w:szCs w:val="20"/>
        </w:rPr>
        <w:lastRenderedPageBreak/>
        <mc:AlternateContent>
          <mc:Choice Requires="wps">
            <w:drawing>
              <wp:anchor distT="0" distB="0" distL="114300" distR="114300" simplePos="0" relativeHeight="251660288" behindDoc="0" locked="0" layoutInCell="1" allowOverlap="1" wp14:anchorId="47F2F33A" wp14:editId="4E69C70B">
                <wp:simplePos x="0" y="0"/>
                <wp:positionH relativeFrom="column">
                  <wp:posOffset>4591050</wp:posOffset>
                </wp:positionH>
                <wp:positionV relativeFrom="paragraph">
                  <wp:posOffset>-285750</wp:posOffset>
                </wp:positionV>
                <wp:extent cx="552450" cy="388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8620"/>
                        </a:xfrm>
                        <a:prstGeom prst="rect">
                          <a:avLst/>
                        </a:prstGeom>
                        <a:solidFill>
                          <a:srgbClr val="FFFFFF"/>
                        </a:solidFill>
                        <a:ln w="9525">
                          <a:noFill/>
                          <a:miter lim="800000"/>
                          <a:headEnd/>
                          <a:tailEnd/>
                        </a:ln>
                      </wps:spPr>
                      <wps:txbx>
                        <w:txbxContent>
                          <w:p w14:paraId="6DB40902" w14:textId="77777777" w:rsidR="003A3720" w:rsidRDefault="003A3720" w:rsidP="003A3720">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1.5pt;margin-top:-22.45pt;width:43.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" stroked="f">
                <v:textbox>
                  <w:txbxContent>
                    <w:p w14:paraId="6DB40902" w14:textId="77777777" w:rsidR="003A3720" w:rsidRDefault="003A3720" w:rsidP="003A3720">
                      <w:r>
                        <w:t>(b)</w:t>
                      </w:r>
                    </w:p>
                  </w:txbxContent>
                </v:textbox>
              </v:shape>
            </w:pict>
          </mc:Fallback>
        </mc:AlternateContent>
      </w:r>
      <w:r w:rsidRPr="00625F58">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4B05DC11" wp14:editId="3AD867AB">
                <wp:simplePos x="0" y="0"/>
                <wp:positionH relativeFrom="column">
                  <wp:posOffset>123825</wp:posOffset>
                </wp:positionH>
                <wp:positionV relativeFrom="paragraph">
                  <wp:posOffset>-240030</wp:posOffset>
                </wp:positionV>
                <wp:extent cx="49530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23850"/>
                        </a:xfrm>
                        <a:prstGeom prst="rect">
                          <a:avLst/>
                        </a:prstGeom>
                        <a:solidFill>
                          <a:srgbClr val="FFFFFF"/>
                        </a:solidFill>
                        <a:ln w="9525">
                          <a:noFill/>
                          <a:miter lim="800000"/>
                          <a:headEnd/>
                          <a:tailEnd/>
                        </a:ln>
                      </wps:spPr>
                      <wps:txbx>
                        <w:txbxContent>
                          <w:p w14:paraId="284AF774" w14:textId="77777777" w:rsidR="003A3720" w:rsidRDefault="003A3720" w:rsidP="003A3720">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5pt;margin-top:-18.85pt;width:3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" stroked="f">
                <v:textbox>
                  <w:txbxContent>
                    <w:p w14:paraId="284AF774" w14:textId="77777777" w:rsidR="003A3720" w:rsidRDefault="003A3720" w:rsidP="003A3720">
                      <w:r>
                        <w:t>(a)</w:t>
                      </w:r>
                    </w:p>
                  </w:txbxContent>
                </v:textbox>
              </v:shape>
            </w:pict>
          </mc:Fallback>
        </mc:AlternateContent>
      </w:r>
      <w:r w:rsidRPr="00625F58">
        <w:rPr>
          <w:noProof/>
        </w:rPr>
        <w:drawing>
          <wp:inline distT="0" distB="0" distL="0" distR="0" wp14:anchorId="1B0DEFC1" wp14:editId="00B3706C">
            <wp:extent cx="3496236" cy="472965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Periods.png"/>
                    <pic:cNvPicPr/>
                  </pic:nvPicPr>
                  <pic:blipFill rotWithShape="1">
                    <a:blip r:embed="rId11">
                      <a:extLst>
                        <a:ext uri="{28A0092B-C50C-407E-A947-70E740481C1C}">
                          <a14:useLocalDpi xmlns:a14="http://schemas.microsoft.com/office/drawing/2010/main" val="0"/>
                        </a:ext>
                      </a:extLst>
                    </a:blip>
                    <a:srcRect l="6528" t="9406" r="5565" b="6435"/>
                    <a:stretch/>
                  </pic:blipFill>
                  <pic:spPr bwMode="auto">
                    <a:xfrm>
                      <a:off x="0" y="0"/>
                      <a:ext cx="3503734" cy="4739798"/>
                    </a:xfrm>
                    <a:prstGeom prst="rect">
                      <a:avLst/>
                    </a:prstGeom>
                    <a:ln>
                      <a:noFill/>
                    </a:ln>
                    <a:extLst>
                      <a:ext uri="{53640926-AAD7-44d8-BBD7-CCE9431645EC}">
                        <a14:shadowObscured xmlns:a14="http://schemas.microsoft.com/office/drawing/2010/main"/>
                      </a:ext>
                    </a:extLst>
                  </pic:spPr>
                </pic:pic>
              </a:graphicData>
            </a:graphic>
          </wp:inline>
        </w:drawing>
      </w:r>
      <w:r w:rsidRPr="00625F58">
        <w:rPr>
          <w:noProof/>
        </w:rPr>
        <w:lastRenderedPageBreak/>
        <w:drawing>
          <wp:inline distT="0" distB="0" distL="0" distR="0" wp14:anchorId="7EEC8046" wp14:editId="5202019B">
            <wp:extent cx="3480119" cy="4666129"/>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 burned.png"/>
                    <pic:cNvPicPr/>
                  </pic:nvPicPr>
                  <pic:blipFill rotWithShape="1">
                    <a:blip r:embed="rId12">
                      <a:extLst>
                        <a:ext uri="{28A0092B-C50C-407E-A947-70E740481C1C}">
                          <a14:useLocalDpi xmlns:a14="http://schemas.microsoft.com/office/drawing/2010/main" val="0"/>
                        </a:ext>
                      </a:extLst>
                    </a:blip>
                    <a:srcRect l="7510" t="11238" r="6223" b="6906"/>
                    <a:stretch/>
                  </pic:blipFill>
                  <pic:spPr bwMode="auto">
                    <a:xfrm>
                      <a:off x="0" y="0"/>
                      <a:ext cx="3483562" cy="4670745"/>
                    </a:xfrm>
                    <a:prstGeom prst="rect">
                      <a:avLst/>
                    </a:prstGeom>
                    <a:ln>
                      <a:noFill/>
                    </a:ln>
                    <a:extLst>
                      <a:ext uri="{53640926-AAD7-44d8-BBD7-CCE9431645EC}">
                        <a14:shadowObscured xmlns:a14="http://schemas.microsoft.com/office/drawing/2010/main"/>
                      </a:ext>
                    </a:extLst>
                  </pic:spPr>
                </pic:pic>
              </a:graphicData>
            </a:graphic>
          </wp:inline>
        </w:drawing>
      </w:r>
    </w:p>
    <w:p w14:paraId="1B0E504C" w14:textId="77777777" w:rsidR="003A3720" w:rsidRPr="00625F58" w:rsidRDefault="003A3720" w:rsidP="003A3720">
      <w:pPr>
        <w:tabs>
          <w:tab w:val="left" w:pos="3095"/>
        </w:tabs>
        <w:jc w:val="both"/>
      </w:pPr>
    </w:p>
    <w:p w14:paraId="0F2B3A7F" w14:textId="77777777" w:rsidR="003A3720" w:rsidRPr="00625F58" w:rsidRDefault="003A3720" w:rsidP="003A3720">
      <w:pPr>
        <w:tabs>
          <w:tab w:val="left" w:pos="3095"/>
        </w:tabs>
        <w:jc w:val="both"/>
        <w:rPr>
          <w:rFonts w:ascii="Times New Roman" w:hAnsi="Times New Roman" w:cs="Times New Roman"/>
          <w:b/>
          <w:sz w:val="20"/>
          <w:szCs w:val="20"/>
          <w:lang w:eastAsia="en-GB"/>
        </w:rPr>
        <w:sectPr w:rsidR="003A3720" w:rsidRPr="00625F58" w:rsidSect="00BC4D24">
          <w:pgSz w:w="16838" w:h="11906" w:orient="landscape"/>
          <w:pgMar w:top="873" w:right="1440" w:bottom="873" w:left="1440" w:header="0" w:footer="0" w:gutter="0"/>
          <w:cols w:num="2" w:space="720"/>
          <w:formProt w:val="0"/>
          <w:docGrid w:linePitch="360" w:charSpace="4096"/>
        </w:sectPr>
      </w:pPr>
    </w:p>
    <w:p w14:paraId="086FC72C" w14:textId="77777777" w:rsidR="003A3720" w:rsidRPr="00625F58" w:rsidRDefault="003A3720" w:rsidP="003A3720">
      <w:pPr>
        <w:tabs>
          <w:tab w:val="left" w:pos="3095"/>
        </w:tabs>
        <w:jc w:val="both"/>
        <w:rPr>
          <w:rFonts w:ascii="Times New Roman" w:hAnsi="Times New Roman" w:cs="Times New Roman"/>
          <w:sz w:val="20"/>
          <w:szCs w:val="20"/>
          <w:lang w:eastAsia="en-GB"/>
        </w:rPr>
      </w:pPr>
      <w:r w:rsidRPr="00625F58">
        <w:rPr>
          <w:rFonts w:ascii="Times New Roman" w:hAnsi="Times New Roman" w:cs="Times New Roman"/>
          <w:b/>
          <w:sz w:val="20"/>
          <w:szCs w:val="20"/>
          <w:lang w:eastAsia="en-GB"/>
        </w:rPr>
        <w:lastRenderedPageBreak/>
        <w:t>Fig .1.</w:t>
      </w:r>
      <w:r w:rsidRPr="00625F58">
        <w:rPr>
          <w:rFonts w:ascii="Times New Roman" w:hAnsi="Times New Roman" w:cs="Times New Roman"/>
          <w:sz w:val="20"/>
          <w:szCs w:val="20"/>
          <w:lang w:eastAsia="en-GB"/>
        </w:rPr>
        <w:t xml:space="preserve"> (a) Maps of prescribed burn patches on Howden Moor, Peak District between 1988-2009, overlain on aerial photography. B) Patches burned one, two, three, four and five times during the study period; green areas were not burned. </w:t>
      </w:r>
    </w:p>
    <w:p w14:paraId="43389CD4" w14:textId="77777777" w:rsidR="003A3720" w:rsidRPr="00625F58" w:rsidRDefault="003A3720" w:rsidP="003A3720">
      <w:pPr>
        <w:tabs>
          <w:tab w:val="left" w:pos="3095"/>
        </w:tabs>
        <w:jc w:val="both"/>
        <w:rPr>
          <w:rFonts w:ascii="Times New Roman" w:hAnsi="Times New Roman" w:cs="Times New Roman"/>
          <w:sz w:val="20"/>
          <w:szCs w:val="20"/>
          <w:lang w:eastAsia="en-GB"/>
        </w:rPr>
        <w:sectPr w:rsidR="003A3720" w:rsidRPr="00625F58" w:rsidSect="00BC4D24">
          <w:type w:val="continuous"/>
          <w:pgSz w:w="16838" w:h="11906" w:orient="landscape"/>
          <w:pgMar w:top="873" w:right="1440" w:bottom="873" w:left="1440" w:header="0" w:footer="0" w:gutter="0"/>
          <w:cols w:space="720"/>
          <w:formProt w:val="0"/>
          <w:docGrid w:linePitch="360" w:charSpace="4096"/>
        </w:sectPr>
      </w:pPr>
    </w:p>
    <w:p w14:paraId="6DE5538B" w14:textId="77777777" w:rsidR="003A3720" w:rsidRPr="00625F58" w:rsidRDefault="003A3720" w:rsidP="003A3720">
      <w:pPr>
        <w:tabs>
          <w:tab w:val="left" w:pos="3095"/>
        </w:tabs>
        <w:ind w:firstLine="993"/>
        <w:jc w:val="both"/>
      </w:pPr>
      <w:r w:rsidRPr="00625F58">
        <w:rPr>
          <w:noProof/>
        </w:rPr>
        <w:lastRenderedPageBreak/>
        <mc:AlternateContent>
          <mc:Choice Requires="wps">
            <w:drawing>
              <wp:anchor distT="0" distB="0" distL="114300" distR="114300" simplePos="0" relativeHeight="251661312" behindDoc="0" locked="0" layoutInCell="1" allowOverlap="1" wp14:anchorId="32046636" wp14:editId="6DD1E35B">
                <wp:simplePos x="0" y="0"/>
                <wp:positionH relativeFrom="column">
                  <wp:posOffset>-154828</wp:posOffset>
                </wp:positionH>
                <wp:positionV relativeFrom="paragraph">
                  <wp:posOffset>2070324</wp:posOffset>
                </wp:positionV>
                <wp:extent cx="2374265" cy="286385"/>
                <wp:effectExtent l="0" t="0" r="190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286385"/>
                        </a:xfrm>
                        <a:prstGeom prst="rect">
                          <a:avLst/>
                        </a:prstGeom>
                        <a:noFill/>
                        <a:ln w="9525">
                          <a:noFill/>
                          <a:miter lim="800000"/>
                          <a:headEnd/>
                          <a:tailEnd/>
                        </a:ln>
                      </wps:spPr>
                      <wps:txbx>
                        <w:txbxContent>
                          <w:p w14:paraId="346F00A5" w14:textId="77777777" w:rsidR="003A3720" w:rsidRPr="000C368D" w:rsidRDefault="003A3720" w:rsidP="003A3720">
                            <w:pPr>
                              <w:rPr>
                                <w:rFonts w:cs="Arial"/>
                                <w:sz w:val="24"/>
                                <w:szCs w:val="24"/>
                              </w:rPr>
                            </w:pPr>
                            <w:r w:rsidRPr="000C368D">
                              <w:rPr>
                                <w:rFonts w:cs="Arial"/>
                                <w:sz w:val="24"/>
                                <w:szCs w:val="24"/>
                              </w:rPr>
                              <w:t>Number of burns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2.15pt;margin-top:163pt;width:186.95pt;height:22.55pt;rotation:-90;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" filled="f" stroked="f">
                <v:textbox style="mso-fit-shape-to-text:t">
                  <w:txbxContent>
                    <w:p w14:paraId="346F00A5" w14:textId="77777777" w:rsidR="003A3720" w:rsidRPr="000C368D" w:rsidRDefault="003A3720" w:rsidP="003A3720">
                      <w:pPr>
                        <w:rPr>
                          <w:rFonts w:cs="Arial"/>
                          <w:sz w:val="24"/>
                          <w:szCs w:val="24"/>
                        </w:rPr>
                      </w:pPr>
                      <w:r w:rsidRPr="000C368D">
                        <w:rPr>
                          <w:rFonts w:cs="Arial"/>
                          <w:sz w:val="24"/>
                          <w:szCs w:val="24"/>
                        </w:rPr>
                        <w:t>Number of burns</w:t>
                      </w:r>
                    </w:p>
                  </w:txbxContent>
                </v:textbox>
              </v:shape>
            </w:pict>
          </mc:Fallback>
        </mc:AlternateContent>
      </w:r>
      <w:r w:rsidRPr="00625F58">
        <w:rPr>
          <w:noProof/>
        </w:rPr>
        <w:drawing>
          <wp:inline distT="0" distB="0" distL="0" distR="0" wp14:anchorId="280C0DAD" wp14:editId="717563D0">
            <wp:extent cx="3832412" cy="76251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34174" cy="7628616"/>
                    </a:xfrm>
                    <a:prstGeom prst="rect">
                      <a:avLst/>
                    </a:prstGeom>
                  </pic:spPr>
                </pic:pic>
              </a:graphicData>
            </a:graphic>
          </wp:inline>
        </w:drawing>
      </w:r>
    </w:p>
    <w:p w14:paraId="11C2F63B" w14:textId="77777777" w:rsidR="003A3720" w:rsidRPr="00625F58" w:rsidRDefault="003A3720" w:rsidP="003A3720">
      <w:pPr>
        <w:tabs>
          <w:tab w:val="left" w:pos="3095"/>
        </w:tabs>
        <w:jc w:val="both"/>
      </w:pPr>
    </w:p>
    <w:p w14:paraId="7F6CFD49" w14:textId="77777777" w:rsidR="00500960" w:rsidRPr="00625F58" w:rsidRDefault="003A3720" w:rsidP="003A3720">
      <w:pPr>
        <w:tabs>
          <w:tab w:val="left" w:pos="284"/>
          <w:tab w:val="left" w:pos="3095"/>
        </w:tabs>
        <w:ind w:left="284" w:hanging="284"/>
        <w:jc w:val="both"/>
        <w:rPr>
          <w:rFonts w:cs="Times New Roman"/>
          <w:noProof/>
        </w:rPr>
      </w:pPr>
      <w:r w:rsidRPr="00625F58">
        <w:rPr>
          <w:rFonts w:ascii="Times New Roman" w:hAnsi="Times New Roman" w:cs="Times New Roman"/>
          <w:b/>
          <w:sz w:val="20"/>
          <w:szCs w:val="20"/>
          <w:lang w:eastAsia="en-GB"/>
        </w:rPr>
        <w:t>Fig. 2.</w:t>
      </w:r>
      <w:r w:rsidRPr="00625F58">
        <w:rPr>
          <w:rFonts w:ascii="Times New Roman" w:hAnsi="Times New Roman" w:cs="Times New Roman"/>
          <w:sz w:val="20"/>
          <w:szCs w:val="20"/>
          <w:lang w:eastAsia="en-GB"/>
        </w:rPr>
        <w:t xml:space="preserve"> Number of burn patches by size class on five sampling occasions</w:t>
      </w:r>
    </w:p>
    <w:p w14:paraId="133DE125" w14:textId="77777777" w:rsidR="00E46661" w:rsidRPr="00625F58" w:rsidRDefault="00E46661" w:rsidP="00C85364">
      <w:pPr>
        <w:tabs>
          <w:tab w:val="left" w:pos="284"/>
        </w:tabs>
        <w:ind w:left="284" w:hanging="284"/>
        <w:jc w:val="both"/>
        <w:rPr>
          <w:rStyle w:val="textrecord"/>
          <w:rFonts w:cs="Times New Roman"/>
        </w:rPr>
      </w:pPr>
    </w:p>
    <w:sectPr w:rsidR="00E46661" w:rsidRPr="00625F58" w:rsidSect="00082CF7">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7D226" w14:textId="77777777" w:rsidR="003971B6" w:rsidRDefault="003971B6" w:rsidP="00E450FA">
      <w:r>
        <w:separator/>
      </w:r>
    </w:p>
  </w:endnote>
  <w:endnote w:type="continuationSeparator" w:id="0">
    <w:p w14:paraId="71003556" w14:textId="77777777" w:rsidR="003971B6" w:rsidRDefault="003971B6" w:rsidP="00E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95109256"/>
      <w:docPartObj>
        <w:docPartGallery w:val="Page Numbers (Bottom of Page)"/>
        <w:docPartUnique/>
      </w:docPartObj>
    </w:sdtPr>
    <w:sdtEndPr>
      <w:rPr>
        <w:noProof/>
      </w:rPr>
    </w:sdtEndPr>
    <w:sdtContent>
      <w:p w14:paraId="31DEDC0A" w14:textId="77777777" w:rsidR="00E55953" w:rsidRPr="008757F2" w:rsidRDefault="00E55953">
        <w:pPr>
          <w:pStyle w:val="Footer"/>
          <w:jc w:val="right"/>
          <w:rPr>
            <w:sz w:val="18"/>
            <w:szCs w:val="18"/>
          </w:rPr>
        </w:pPr>
        <w:r w:rsidRPr="008757F2">
          <w:rPr>
            <w:sz w:val="18"/>
            <w:szCs w:val="18"/>
          </w:rPr>
          <w:fldChar w:fldCharType="begin"/>
        </w:r>
        <w:r w:rsidRPr="008757F2">
          <w:rPr>
            <w:sz w:val="18"/>
            <w:szCs w:val="18"/>
          </w:rPr>
          <w:instrText xml:space="preserve"> PAGE   \* MERGEFORMAT </w:instrText>
        </w:r>
        <w:r w:rsidRPr="008757F2">
          <w:rPr>
            <w:sz w:val="18"/>
            <w:szCs w:val="18"/>
          </w:rPr>
          <w:fldChar w:fldCharType="separate"/>
        </w:r>
        <w:r w:rsidR="00625F58">
          <w:rPr>
            <w:noProof/>
            <w:sz w:val="18"/>
            <w:szCs w:val="18"/>
          </w:rPr>
          <w:t>6</w:t>
        </w:r>
        <w:r w:rsidRPr="008757F2">
          <w:rPr>
            <w:noProof/>
            <w:sz w:val="18"/>
            <w:szCs w:val="18"/>
          </w:rPr>
          <w:fldChar w:fldCharType="end"/>
        </w:r>
      </w:p>
    </w:sdtContent>
  </w:sdt>
  <w:p w14:paraId="4DAC2B9F" w14:textId="77777777" w:rsidR="00E55953" w:rsidRDefault="00E559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04B8" w14:textId="77777777" w:rsidR="003971B6" w:rsidRDefault="003971B6" w:rsidP="00E450FA">
      <w:r>
        <w:separator/>
      </w:r>
    </w:p>
  </w:footnote>
  <w:footnote w:type="continuationSeparator" w:id="0">
    <w:p w14:paraId="0C6B6E5A" w14:textId="77777777" w:rsidR="003971B6" w:rsidRDefault="003971B6" w:rsidP="00E450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1DC"/>
    <w:multiLevelType w:val="hybridMultilevel"/>
    <w:tmpl w:val="C2305CCA"/>
    <w:lvl w:ilvl="0" w:tplc="C40EC0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77644"/>
    <w:multiLevelType w:val="hybridMultilevel"/>
    <w:tmpl w:val="CCB03A06"/>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9FE73B5"/>
    <w:multiLevelType w:val="hybridMultilevel"/>
    <w:tmpl w:val="55EE153E"/>
    <w:lvl w:ilvl="0" w:tplc="C9A8EA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475B1B"/>
    <w:multiLevelType w:val="multilevel"/>
    <w:tmpl w:val="66820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D16C8D"/>
    <w:multiLevelType w:val="multilevel"/>
    <w:tmpl w:val="40A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B15AA"/>
    <w:multiLevelType w:val="multilevel"/>
    <w:tmpl w:val="AB98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C3EC1"/>
    <w:multiLevelType w:val="multilevel"/>
    <w:tmpl w:val="4F38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560AA"/>
    <w:multiLevelType w:val="multilevel"/>
    <w:tmpl w:val="26D2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47A85"/>
    <w:multiLevelType w:val="multilevel"/>
    <w:tmpl w:val="1BE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80A89"/>
    <w:multiLevelType w:val="multilevel"/>
    <w:tmpl w:val="DB8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A12D8"/>
    <w:multiLevelType w:val="multilevel"/>
    <w:tmpl w:val="CCB03A0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6E7B2830"/>
    <w:multiLevelType w:val="hybridMultilevel"/>
    <w:tmpl w:val="561A8BEA"/>
    <w:lvl w:ilvl="0" w:tplc="0809000F">
      <w:start w:val="1"/>
      <w:numFmt w:val="decimal"/>
      <w:lvlText w:val="%1."/>
      <w:lvlJc w:val="left"/>
      <w:pPr>
        <w:ind w:left="720" w:hanging="360"/>
      </w:pPr>
      <w:rPr>
        <w:rFonts w:hint="default"/>
      </w:rPr>
    </w:lvl>
    <w:lvl w:ilvl="1" w:tplc="08090019">
      <w:start w:val="1"/>
      <w:numFmt w:val="lowerLetter"/>
      <w:lvlText w:val="%2."/>
      <w:lvlJc w:val="left"/>
      <w:pPr>
        <w:ind w:left="92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1768A3"/>
    <w:multiLevelType w:val="hybridMultilevel"/>
    <w:tmpl w:val="9788AD92"/>
    <w:lvl w:ilvl="0" w:tplc="CA7ECE1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B51010"/>
    <w:multiLevelType w:val="multilevel"/>
    <w:tmpl w:val="CC2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B413F"/>
    <w:multiLevelType w:val="hybridMultilevel"/>
    <w:tmpl w:val="55EE153E"/>
    <w:lvl w:ilvl="0" w:tplc="C9A8EA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7CCE35F4"/>
    <w:multiLevelType w:val="hybridMultilevel"/>
    <w:tmpl w:val="308AA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12"/>
  </w:num>
  <w:num w:numId="6">
    <w:abstractNumId w:val="11"/>
  </w:num>
  <w:num w:numId="7">
    <w:abstractNumId w:val="14"/>
  </w:num>
  <w:num w:numId="8">
    <w:abstractNumId w:val="15"/>
  </w:num>
  <w:num w:numId="9">
    <w:abstractNumId w:val="13"/>
  </w:num>
  <w:num w:numId="10">
    <w:abstractNumId w:val="6"/>
  </w:num>
  <w:num w:numId="11">
    <w:abstractNumId w:val="8"/>
  </w:num>
  <w:num w:numId="12">
    <w:abstractNumId w:val="4"/>
  </w:num>
  <w:num w:numId="13">
    <w:abstractNumId w:val="9"/>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C2"/>
    <w:rsid w:val="000004B9"/>
    <w:rsid w:val="00000C12"/>
    <w:rsid w:val="000013CA"/>
    <w:rsid w:val="0000263A"/>
    <w:rsid w:val="00006225"/>
    <w:rsid w:val="00011E11"/>
    <w:rsid w:val="0001644A"/>
    <w:rsid w:val="000206EB"/>
    <w:rsid w:val="00031EB4"/>
    <w:rsid w:val="000408A4"/>
    <w:rsid w:val="00043E83"/>
    <w:rsid w:val="00045161"/>
    <w:rsid w:val="00045EF3"/>
    <w:rsid w:val="00052016"/>
    <w:rsid w:val="00055136"/>
    <w:rsid w:val="00056307"/>
    <w:rsid w:val="0006146D"/>
    <w:rsid w:val="000637BE"/>
    <w:rsid w:val="00064035"/>
    <w:rsid w:val="00064B99"/>
    <w:rsid w:val="00065432"/>
    <w:rsid w:val="00080E9A"/>
    <w:rsid w:val="00082CF7"/>
    <w:rsid w:val="00084659"/>
    <w:rsid w:val="00085C12"/>
    <w:rsid w:val="000867B2"/>
    <w:rsid w:val="00090612"/>
    <w:rsid w:val="00090E3A"/>
    <w:rsid w:val="00091ADB"/>
    <w:rsid w:val="00091C0C"/>
    <w:rsid w:val="00093343"/>
    <w:rsid w:val="000A5DC7"/>
    <w:rsid w:val="000B1783"/>
    <w:rsid w:val="000B6E63"/>
    <w:rsid w:val="000C3E7D"/>
    <w:rsid w:val="000C3EAD"/>
    <w:rsid w:val="000C48D5"/>
    <w:rsid w:val="000C658D"/>
    <w:rsid w:val="000D1FF8"/>
    <w:rsid w:val="000D23BD"/>
    <w:rsid w:val="000D3CE4"/>
    <w:rsid w:val="000D4CAD"/>
    <w:rsid w:val="000D5F39"/>
    <w:rsid w:val="000D62F0"/>
    <w:rsid w:val="000E032A"/>
    <w:rsid w:val="000E2FE5"/>
    <w:rsid w:val="000E47E7"/>
    <w:rsid w:val="000E4B03"/>
    <w:rsid w:val="000F0FC3"/>
    <w:rsid w:val="000F5A6B"/>
    <w:rsid w:val="00106DE1"/>
    <w:rsid w:val="0010717C"/>
    <w:rsid w:val="00110D24"/>
    <w:rsid w:val="0011155E"/>
    <w:rsid w:val="001131C1"/>
    <w:rsid w:val="0011693A"/>
    <w:rsid w:val="0012658A"/>
    <w:rsid w:val="00131865"/>
    <w:rsid w:val="00133043"/>
    <w:rsid w:val="00134DEA"/>
    <w:rsid w:val="0013583E"/>
    <w:rsid w:val="001374A2"/>
    <w:rsid w:val="00137B31"/>
    <w:rsid w:val="00141028"/>
    <w:rsid w:val="00141641"/>
    <w:rsid w:val="0014632C"/>
    <w:rsid w:val="001507CE"/>
    <w:rsid w:val="00155377"/>
    <w:rsid w:val="00156B96"/>
    <w:rsid w:val="00156E52"/>
    <w:rsid w:val="00157434"/>
    <w:rsid w:val="00160AEC"/>
    <w:rsid w:val="00167978"/>
    <w:rsid w:val="001679A5"/>
    <w:rsid w:val="001711E0"/>
    <w:rsid w:val="00171D9A"/>
    <w:rsid w:val="0017235E"/>
    <w:rsid w:val="00175ADB"/>
    <w:rsid w:val="0017764B"/>
    <w:rsid w:val="00177A0E"/>
    <w:rsid w:val="00181135"/>
    <w:rsid w:val="00182029"/>
    <w:rsid w:val="00182BBC"/>
    <w:rsid w:val="00190D84"/>
    <w:rsid w:val="00190EEE"/>
    <w:rsid w:val="0019570F"/>
    <w:rsid w:val="0019730D"/>
    <w:rsid w:val="001976E5"/>
    <w:rsid w:val="001A703E"/>
    <w:rsid w:val="001B5718"/>
    <w:rsid w:val="001B744F"/>
    <w:rsid w:val="001B7EB0"/>
    <w:rsid w:val="001C1613"/>
    <w:rsid w:val="001C1DF6"/>
    <w:rsid w:val="001D2D42"/>
    <w:rsid w:val="001D45E7"/>
    <w:rsid w:val="001D7EC0"/>
    <w:rsid w:val="001E11E7"/>
    <w:rsid w:val="001E575C"/>
    <w:rsid w:val="001E7789"/>
    <w:rsid w:val="001F1B6F"/>
    <w:rsid w:val="001F26A2"/>
    <w:rsid w:val="001F7E33"/>
    <w:rsid w:val="00202C48"/>
    <w:rsid w:val="0020316F"/>
    <w:rsid w:val="00203E71"/>
    <w:rsid w:val="002053A7"/>
    <w:rsid w:val="00206B3D"/>
    <w:rsid w:val="00207864"/>
    <w:rsid w:val="00212668"/>
    <w:rsid w:val="00215E7E"/>
    <w:rsid w:val="00216D35"/>
    <w:rsid w:val="00222C22"/>
    <w:rsid w:val="00225D78"/>
    <w:rsid w:val="002322AF"/>
    <w:rsid w:val="00232606"/>
    <w:rsid w:val="002369C7"/>
    <w:rsid w:val="0025010B"/>
    <w:rsid w:val="002506EF"/>
    <w:rsid w:val="00251B83"/>
    <w:rsid w:val="002523CA"/>
    <w:rsid w:val="00253D1A"/>
    <w:rsid w:val="002552E6"/>
    <w:rsid w:val="0026579A"/>
    <w:rsid w:val="002659EE"/>
    <w:rsid w:val="002763DE"/>
    <w:rsid w:val="0027712A"/>
    <w:rsid w:val="00282067"/>
    <w:rsid w:val="002826D9"/>
    <w:rsid w:val="00283429"/>
    <w:rsid w:val="00284B42"/>
    <w:rsid w:val="00285B65"/>
    <w:rsid w:val="002863D1"/>
    <w:rsid w:val="00286871"/>
    <w:rsid w:val="00287D40"/>
    <w:rsid w:val="00290CDA"/>
    <w:rsid w:val="00291283"/>
    <w:rsid w:val="00296032"/>
    <w:rsid w:val="002A3CAE"/>
    <w:rsid w:val="002A6F92"/>
    <w:rsid w:val="002B001A"/>
    <w:rsid w:val="002B3195"/>
    <w:rsid w:val="002B3406"/>
    <w:rsid w:val="002B3974"/>
    <w:rsid w:val="002B6AF8"/>
    <w:rsid w:val="002C4239"/>
    <w:rsid w:val="002C75F7"/>
    <w:rsid w:val="002D0CDB"/>
    <w:rsid w:val="002D2400"/>
    <w:rsid w:val="002D3B1E"/>
    <w:rsid w:val="002D4373"/>
    <w:rsid w:val="002D5595"/>
    <w:rsid w:val="002D7355"/>
    <w:rsid w:val="002E5F2F"/>
    <w:rsid w:val="002F21FF"/>
    <w:rsid w:val="002F2E26"/>
    <w:rsid w:val="002F500F"/>
    <w:rsid w:val="0030409D"/>
    <w:rsid w:val="0030421B"/>
    <w:rsid w:val="003065F9"/>
    <w:rsid w:val="0032218F"/>
    <w:rsid w:val="00324F73"/>
    <w:rsid w:val="003348CC"/>
    <w:rsid w:val="0033545D"/>
    <w:rsid w:val="00335D1F"/>
    <w:rsid w:val="00342421"/>
    <w:rsid w:val="0034468B"/>
    <w:rsid w:val="00346FD1"/>
    <w:rsid w:val="0035432C"/>
    <w:rsid w:val="00354C96"/>
    <w:rsid w:val="00357D0C"/>
    <w:rsid w:val="00362BBF"/>
    <w:rsid w:val="003630E8"/>
    <w:rsid w:val="003803B8"/>
    <w:rsid w:val="003871F0"/>
    <w:rsid w:val="003933AE"/>
    <w:rsid w:val="0039569E"/>
    <w:rsid w:val="0039591B"/>
    <w:rsid w:val="003971B6"/>
    <w:rsid w:val="003A0DB7"/>
    <w:rsid w:val="003A2563"/>
    <w:rsid w:val="003A3720"/>
    <w:rsid w:val="003A57A9"/>
    <w:rsid w:val="003A5C45"/>
    <w:rsid w:val="003A5CF9"/>
    <w:rsid w:val="003A61A3"/>
    <w:rsid w:val="003A65A8"/>
    <w:rsid w:val="003A6B88"/>
    <w:rsid w:val="003A7819"/>
    <w:rsid w:val="003B08B9"/>
    <w:rsid w:val="003B1666"/>
    <w:rsid w:val="003B3881"/>
    <w:rsid w:val="003C2EDA"/>
    <w:rsid w:val="003E00DD"/>
    <w:rsid w:val="003E3FD5"/>
    <w:rsid w:val="003E7961"/>
    <w:rsid w:val="003F0B01"/>
    <w:rsid w:val="004004A3"/>
    <w:rsid w:val="00402851"/>
    <w:rsid w:val="00403E07"/>
    <w:rsid w:val="00406614"/>
    <w:rsid w:val="00406BC2"/>
    <w:rsid w:val="004142B2"/>
    <w:rsid w:val="0042229A"/>
    <w:rsid w:val="00424271"/>
    <w:rsid w:val="00424D34"/>
    <w:rsid w:val="00426444"/>
    <w:rsid w:val="00435008"/>
    <w:rsid w:val="00441757"/>
    <w:rsid w:val="00443785"/>
    <w:rsid w:val="004443C3"/>
    <w:rsid w:val="00451385"/>
    <w:rsid w:val="00451767"/>
    <w:rsid w:val="00477C50"/>
    <w:rsid w:val="004806FB"/>
    <w:rsid w:val="00480F55"/>
    <w:rsid w:val="00485009"/>
    <w:rsid w:val="00485A87"/>
    <w:rsid w:val="00487B62"/>
    <w:rsid w:val="004974E4"/>
    <w:rsid w:val="004A1914"/>
    <w:rsid w:val="004B2043"/>
    <w:rsid w:val="004B20C1"/>
    <w:rsid w:val="004B42F1"/>
    <w:rsid w:val="004B4704"/>
    <w:rsid w:val="004B4CF4"/>
    <w:rsid w:val="004B4DF4"/>
    <w:rsid w:val="004B5B41"/>
    <w:rsid w:val="004B754B"/>
    <w:rsid w:val="004C52AE"/>
    <w:rsid w:val="004C73E0"/>
    <w:rsid w:val="004D1351"/>
    <w:rsid w:val="004E31FC"/>
    <w:rsid w:val="004E3CD2"/>
    <w:rsid w:val="004E44B4"/>
    <w:rsid w:val="004E4C4A"/>
    <w:rsid w:val="004E7D76"/>
    <w:rsid w:val="00500960"/>
    <w:rsid w:val="005027A1"/>
    <w:rsid w:val="00504C87"/>
    <w:rsid w:val="00511E73"/>
    <w:rsid w:val="00513F5B"/>
    <w:rsid w:val="00515B91"/>
    <w:rsid w:val="00530B26"/>
    <w:rsid w:val="0053374A"/>
    <w:rsid w:val="00541347"/>
    <w:rsid w:val="005422B6"/>
    <w:rsid w:val="00543AF5"/>
    <w:rsid w:val="00546FA3"/>
    <w:rsid w:val="00554037"/>
    <w:rsid w:val="00555BD5"/>
    <w:rsid w:val="00560255"/>
    <w:rsid w:val="0056050B"/>
    <w:rsid w:val="005645D6"/>
    <w:rsid w:val="005739C1"/>
    <w:rsid w:val="00581048"/>
    <w:rsid w:val="00581A45"/>
    <w:rsid w:val="00581B80"/>
    <w:rsid w:val="00583416"/>
    <w:rsid w:val="00595A5F"/>
    <w:rsid w:val="005A1C58"/>
    <w:rsid w:val="005A2724"/>
    <w:rsid w:val="005A2906"/>
    <w:rsid w:val="005A2F62"/>
    <w:rsid w:val="005A6888"/>
    <w:rsid w:val="005B1EAC"/>
    <w:rsid w:val="005B38CE"/>
    <w:rsid w:val="005B4051"/>
    <w:rsid w:val="005B4434"/>
    <w:rsid w:val="005B4D3D"/>
    <w:rsid w:val="005B5F2A"/>
    <w:rsid w:val="005B7C87"/>
    <w:rsid w:val="005C0FC1"/>
    <w:rsid w:val="005C1A0B"/>
    <w:rsid w:val="005D1520"/>
    <w:rsid w:val="005D2F18"/>
    <w:rsid w:val="005D6846"/>
    <w:rsid w:val="005E0AA8"/>
    <w:rsid w:val="005F1C8F"/>
    <w:rsid w:val="005F3E4C"/>
    <w:rsid w:val="005F777C"/>
    <w:rsid w:val="00603300"/>
    <w:rsid w:val="00606E53"/>
    <w:rsid w:val="00607059"/>
    <w:rsid w:val="00612175"/>
    <w:rsid w:val="00615112"/>
    <w:rsid w:val="006164A6"/>
    <w:rsid w:val="00617000"/>
    <w:rsid w:val="0062012E"/>
    <w:rsid w:val="0062186B"/>
    <w:rsid w:val="006228D0"/>
    <w:rsid w:val="00625F58"/>
    <w:rsid w:val="006270CB"/>
    <w:rsid w:val="00644DCE"/>
    <w:rsid w:val="0064646D"/>
    <w:rsid w:val="00646D74"/>
    <w:rsid w:val="00650788"/>
    <w:rsid w:val="006603BE"/>
    <w:rsid w:val="006607CB"/>
    <w:rsid w:val="00660948"/>
    <w:rsid w:val="0066220B"/>
    <w:rsid w:val="00662BA9"/>
    <w:rsid w:val="006635FE"/>
    <w:rsid w:val="006840FA"/>
    <w:rsid w:val="00685F96"/>
    <w:rsid w:val="0068799C"/>
    <w:rsid w:val="00690349"/>
    <w:rsid w:val="006935D8"/>
    <w:rsid w:val="006A40BB"/>
    <w:rsid w:val="006A4235"/>
    <w:rsid w:val="006A5104"/>
    <w:rsid w:val="006A668F"/>
    <w:rsid w:val="006B1E72"/>
    <w:rsid w:val="006B2541"/>
    <w:rsid w:val="006B6004"/>
    <w:rsid w:val="006C4C86"/>
    <w:rsid w:val="006C4D7B"/>
    <w:rsid w:val="006C7820"/>
    <w:rsid w:val="006C793D"/>
    <w:rsid w:val="006D42C0"/>
    <w:rsid w:val="006E0A40"/>
    <w:rsid w:val="006E12F8"/>
    <w:rsid w:val="006E140F"/>
    <w:rsid w:val="006E48B2"/>
    <w:rsid w:val="006E4C59"/>
    <w:rsid w:val="006E75FB"/>
    <w:rsid w:val="006E77D3"/>
    <w:rsid w:val="006E7F59"/>
    <w:rsid w:val="00705B10"/>
    <w:rsid w:val="00705BD8"/>
    <w:rsid w:val="0071472F"/>
    <w:rsid w:val="007161A8"/>
    <w:rsid w:val="007338FB"/>
    <w:rsid w:val="007356B5"/>
    <w:rsid w:val="00740542"/>
    <w:rsid w:val="00740D68"/>
    <w:rsid w:val="00742C05"/>
    <w:rsid w:val="00745E7E"/>
    <w:rsid w:val="0075375C"/>
    <w:rsid w:val="00753F2D"/>
    <w:rsid w:val="00756292"/>
    <w:rsid w:val="00757558"/>
    <w:rsid w:val="00760108"/>
    <w:rsid w:val="00760601"/>
    <w:rsid w:val="007610BE"/>
    <w:rsid w:val="007615D6"/>
    <w:rsid w:val="007620AF"/>
    <w:rsid w:val="00762FD0"/>
    <w:rsid w:val="00764D86"/>
    <w:rsid w:val="007655CB"/>
    <w:rsid w:val="0076731F"/>
    <w:rsid w:val="00774A1F"/>
    <w:rsid w:val="00777FAB"/>
    <w:rsid w:val="00782E11"/>
    <w:rsid w:val="007867F2"/>
    <w:rsid w:val="00791004"/>
    <w:rsid w:val="0079372F"/>
    <w:rsid w:val="007957CE"/>
    <w:rsid w:val="00796092"/>
    <w:rsid w:val="00797D60"/>
    <w:rsid w:val="007A1C62"/>
    <w:rsid w:val="007B4962"/>
    <w:rsid w:val="007B625B"/>
    <w:rsid w:val="007C4641"/>
    <w:rsid w:val="007E2C9B"/>
    <w:rsid w:val="007E75FF"/>
    <w:rsid w:val="007F215C"/>
    <w:rsid w:val="007F251A"/>
    <w:rsid w:val="007F75D3"/>
    <w:rsid w:val="00810554"/>
    <w:rsid w:val="00811C4C"/>
    <w:rsid w:val="008128EB"/>
    <w:rsid w:val="008137D4"/>
    <w:rsid w:val="00817AA7"/>
    <w:rsid w:val="008272EB"/>
    <w:rsid w:val="00833C86"/>
    <w:rsid w:val="00835C3A"/>
    <w:rsid w:val="0083629E"/>
    <w:rsid w:val="008365D1"/>
    <w:rsid w:val="00836EE4"/>
    <w:rsid w:val="0084373B"/>
    <w:rsid w:val="00845596"/>
    <w:rsid w:val="00845EF1"/>
    <w:rsid w:val="0084664D"/>
    <w:rsid w:val="00855B00"/>
    <w:rsid w:val="00861DEE"/>
    <w:rsid w:val="00870B33"/>
    <w:rsid w:val="00873134"/>
    <w:rsid w:val="00874B5B"/>
    <w:rsid w:val="008757F2"/>
    <w:rsid w:val="00882B63"/>
    <w:rsid w:val="008914B3"/>
    <w:rsid w:val="0089166A"/>
    <w:rsid w:val="008916EC"/>
    <w:rsid w:val="00893712"/>
    <w:rsid w:val="008A008D"/>
    <w:rsid w:val="008A155D"/>
    <w:rsid w:val="008A49BE"/>
    <w:rsid w:val="008B03D9"/>
    <w:rsid w:val="008B1626"/>
    <w:rsid w:val="008B41B9"/>
    <w:rsid w:val="008C2198"/>
    <w:rsid w:val="008C6478"/>
    <w:rsid w:val="008D3D57"/>
    <w:rsid w:val="008D796E"/>
    <w:rsid w:val="008E2DE4"/>
    <w:rsid w:val="008E452F"/>
    <w:rsid w:val="008E71E5"/>
    <w:rsid w:val="008F3129"/>
    <w:rsid w:val="008F5761"/>
    <w:rsid w:val="009033F6"/>
    <w:rsid w:val="00904108"/>
    <w:rsid w:val="009062C2"/>
    <w:rsid w:val="009071DA"/>
    <w:rsid w:val="00913D3D"/>
    <w:rsid w:val="009169B0"/>
    <w:rsid w:val="009224B3"/>
    <w:rsid w:val="009257A9"/>
    <w:rsid w:val="00926697"/>
    <w:rsid w:val="0092695F"/>
    <w:rsid w:val="009303AA"/>
    <w:rsid w:val="00930C35"/>
    <w:rsid w:val="00933263"/>
    <w:rsid w:val="0093562A"/>
    <w:rsid w:val="00935895"/>
    <w:rsid w:val="00941436"/>
    <w:rsid w:val="00941EE6"/>
    <w:rsid w:val="00943F5B"/>
    <w:rsid w:val="00945497"/>
    <w:rsid w:val="00952D8C"/>
    <w:rsid w:val="0096528D"/>
    <w:rsid w:val="009705FD"/>
    <w:rsid w:val="00973955"/>
    <w:rsid w:val="00975A97"/>
    <w:rsid w:val="009765B7"/>
    <w:rsid w:val="009774D5"/>
    <w:rsid w:val="00990718"/>
    <w:rsid w:val="00992861"/>
    <w:rsid w:val="009A3889"/>
    <w:rsid w:val="009A65B3"/>
    <w:rsid w:val="009B69B0"/>
    <w:rsid w:val="009B765C"/>
    <w:rsid w:val="009C07C3"/>
    <w:rsid w:val="009C5CC3"/>
    <w:rsid w:val="009C6A5A"/>
    <w:rsid w:val="009C70DC"/>
    <w:rsid w:val="009D152B"/>
    <w:rsid w:val="009E5BFD"/>
    <w:rsid w:val="009E65C8"/>
    <w:rsid w:val="009E696C"/>
    <w:rsid w:val="009E7371"/>
    <w:rsid w:val="009E7D19"/>
    <w:rsid w:val="00A01C83"/>
    <w:rsid w:val="00A03210"/>
    <w:rsid w:val="00A100BD"/>
    <w:rsid w:val="00A10783"/>
    <w:rsid w:val="00A11F74"/>
    <w:rsid w:val="00A14A87"/>
    <w:rsid w:val="00A15E83"/>
    <w:rsid w:val="00A16726"/>
    <w:rsid w:val="00A219B7"/>
    <w:rsid w:val="00A22C8B"/>
    <w:rsid w:val="00A24C78"/>
    <w:rsid w:val="00A25FC7"/>
    <w:rsid w:val="00A33F4C"/>
    <w:rsid w:val="00A35F0F"/>
    <w:rsid w:val="00A4220B"/>
    <w:rsid w:val="00A4446A"/>
    <w:rsid w:val="00A45AAF"/>
    <w:rsid w:val="00A45D57"/>
    <w:rsid w:val="00A46F0E"/>
    <w:rsid w:val="00A5365C"/>
    <w:rsid w:val="00A610A1"/>
    <w:rsid w:val="00A63602"/>
    <w:rsid w:val="00A65AC2"/>
    <w:rsid w:val="00A660EE"/>
    <w:rsid w:val="00A72553"/>
    <w:rsid w:val="00A76236"/>
    <w:rsid w:val="00A8257A"/>
    <w:rsid w:val="00A878E0"/>
    <w:rsid w:val="00A87D6C"/>
    <w:rsid w:val="00A905D2"/>
    <w:rsid w:val="00A90D3E"/>
    <w:rsid w:val="00A940A0"/>
    <w:rsid w:val="00AA224E"/>
    <w:rsid w:val="00AA3DBD"/>
    <w:rsid w:val="00AA53D9"/>
    <w:rsid w:val="00AB592D"/>
    <w:rsid w:val="00AC4479"/>
    <w:rsid w:val="00AD5093"/>
    <w:rsid w:val="00AE28B4"/>
    <w:rsid w:val="00AE7D88"/>
    <w:rsid w:val="00AF031D"/>
    <w:rsid w:val="00AF3B40"/>
    <w:rsid w:val="00AF5EAC"/>
    <w:rsid w:val="00B01278"/>
    <w:rsid w:val="00B02632"/>
    <w:rsid w:val="00B07668"/>
    <w:rsid w:val="00B1258E"/>
    <w:rsid w:val="00B1589F"/>
    <w:rsid w:val="00B21E82"/>
    <w:rsid w:val="00B23F54"/>
    <w:rsid w:val="00B24CA6"/>
    <w:rsid w:val="00B252A6"/>
    <w:rsid w:val="00B253AB"/>
    <w:rsid w:val="00B30645"/>
    <w:rsid w:val="00B34452"/>
    <w:rsid w:val="00B366F0"/>
    <w:rsid w:val="00B456A0"/>
    <w:rsid w:val="00B46B7C"/>
    <w:rsid w:val="00B512CF"/>
    <w:rsid w:val="00B51C32"/>
    <w:rsid w:val="00B52541"/>
    <w:rsid w:val="00B52CD7"/>
    <w:rsid w:val="00B53C2B"/>
    <w:rsid w:val="00B550A0"/>
    <w:rsid w:val="00B55FF7"/>
    <w:rsid w:val="00B70299"/>
    <w:rsid w:val="00B70EA2"/>
    <w:rsid w:val="00B722DC"/>
    <w:rsid w:val="00B74EBB"/>
    <w:rsid w:val="00B7753F"/>
    <w:rsid w:val="00B81D57"/>
    <w:rsid w:val="00B84319"/>
    <w:rsid w:val="00B865F7"/>
    <w:rsid w:val="00B921C9"/>
    <w:rsid w:val="00B93B64"/>
    <w:rsid w:val="00BA0A3F"/>
    <w:rsid w:val="00BA12C8"/>
    <w:rsid w:val="00BA4693"/>
    <w:rsid w:val="00BB543B"/>
    <w:rsid w:val="00BC1648"/>
    <w:rsid w:val="00BC4F01"/>
    <w:rsid w:val="00BC6F9C"/>
    <w:rsid w:val="00BD2376"/>
    <w:rsid w:val="00BE2D5B"/>
    <w:rsid w:val="00BE576A"/>
    <w:rsid w:val="00BF0D91"/>
    <w:rsid w:val="00BF0F78"/>
    <w:rsid w:val="00BF19AD"/>
    <w:rsid w:val="00BF2528"/>
    <w:rsid w:val="00BF3BF6"/>
    <w:rsid w:val="00C05046"/>
    <w:rsid w:val="00C063D0"/>
    <w:rsid w:val="00C12AEA"/>
    <w:rsid w:val="00C13F32"/>
    <w:rsid w:val="00C14004"/>
    <w:rsid w:val="00C144F0"/>
    <w:rsid w:val="00C17AA9"/>
    <w:rsid w:val="00C411C3"/>
    <w:rsid w:val="00C41F67"/>
    <w:rsid w:val="00C42EBE"/>
    <w:rsid w:val="00C528FF"/>
    <w:rsid w:val="00C533AC"/>
    <w:rsid w:val="00C604FD"/>
    <w:rsid w:val="00C63551"/>
    <w:rsid w:val="00C719EF"/>
    <w:rsid w:val="00C71AA7"/>
    <w:rsid w:val="00C71DB5"/>
    <w:rsid w:val="00C72808"/>
    <w:rsid w:val="00C747D5"/>
    <w:rsid w:val="00C75774"/>
    <w:rsid w:val="00C80C8B"/>
    <w:rsid w:val="00C818CE"/>
    <w:rsid w:val="00C84C72"/>
    <w:rsid w:val="00C85364"/>
    <w:rsid w:val="00C872B5"/>
    <w:rsid w:val="00CA2F60"/>
    <w:rsid w:val="00CA3CD7"/>
    <w:rsid w:val="00CA7674"/>
    <w:rsid w:val="00CB22A8"/>
    <w:rsid w:val="00CB3747"/>
    <w:rsid w:val="00CB7B14"/>
    <w:rsid w:val="00CC1E81"/>
    <w:rsid w:val="00CC3DBD"/>
    <w:rsid w:val="00CC467E"/>
    <w:rsid w:val="00CD070C"/>
    <w:rsid w:val="00CD15D6"/>
    <w:rsid w:val="00CD3887"/>
    <w:rsid w:val="00CD4680"/>
    <w:rsid w:val="00CD7E4C"/>
    <w:rsid w:val="00CF010E"/>
    <w:rsid w:val="00CF059F"/>
    <w:rsid w:val="00CF1E12"/>
    <w:rsid w:val="00CF2626"/>
    <w:rsid w:val="00D020CD"/>
    <w:rsid w:val="00D02118"/>
    <w:rsid w:val="00D104D0"/>
    <w:rsid w:val="00D112E3"/>
    <w:rsid w:val="00D23048"/>
    <w:rsid w:val="00D24292"/>
    <w:rsid w:val="00D32AEB"/>
    <w:rsid w:val="00D42997"/>
    <w:rsid w:val="00D60936"/>
    <w:rsid w:val="00D613A5"/>
    <w:rsid w:val="00D6592E"/>
    <w:rsid w:val="00D73679"/>
    <w:rsid w:val="00D75AA3"/>
    <w:rsid w:val="00D7662E"/>
    <w:rsid w:val="00D772A8"/>
    <w:rsid w:val="00D827FC"/>
    <w:rsid w:val="00D9289D"/>
    <w:rsid w:val="00DB0179"/>
    <w:rsid w:val="00DB0313"/>
    <w:rsid w:val="00DB128D"/>
    <w:rsid w:val="00DB1D95"/>
    <w:rsid w:val="00DB22DE"/>
    <w:rsid w:val="00DB47F5"/>
    <w:rsid w:val="00DC1537"/>
    <w:rsid w:val="00DC1FED"/>
    <w:rsid w:val="00DC7753"/>
    <w:rsid w:val="00DD436B"/>
    <w:rsid w:val="00DE1AA6"/>
    <w:rsid w:val="00DE5DF1"/>
    <w:rsid w:val="00DF40B2"/>
    <w:rsid w:val="00DF4161"/>
    <w:rsid w:val="00E021F1"/>
    <w:rsid w:val="00E039C5"/>
    <w:rsid w:val="00E056B8"/>
    <w:rsid w:val="00E14789"/>
    <w:rsid w:val="00E1697E"/>
    <w:rsid w:val="00E245B3"/>
    <w:rsid w:val="00E27074"/>
    <w:rsid w:val="00E273CA"/>
    <w:rsid w:val="00E33C7D"/>
    <w:rsid w:val="00E345F6"/>
    <w:rsid w:val="00E368F0"/>
    <w:rsid w:val="00E4253E"/>
    <w:rsid w:val="00E450FA"/>
    <w:rsid w:val="00E4519B"/>
    <w:rsid w:val="00E45884"/>
    <w:rsid w:val="00E46661"/>
    <w:rsid w:val="00E504C2"/>
    <w:rsid w:val="00E54CC4"/>
    <w:rsid w:val="00E55953"/>
    <w:rsid w:val="00E60B6C"/>
    <w:rsid w:val="00E651B6"/>
    <w:rsid w:val="00E6651F"/>
    <w:rsid w:val="00E704BE"/>
    <w:rsid w:val="00E71762"/>
    <w:rsid w:val="00E75FF3"/>
    <w:rsid w:val="00E76AF7"/>
    <w:rsid w:val="00E823B4"/>
    <w:rsid w:val="00E84213"/>
    <w:rsid w:val="00E84CB1"/>
    <w:rsid w:val="00E860A5"/>
    <w:rsid w:val="00E879DC"/>
    <w:rsid w:val="00E90FB7"/>
    <w:rsid w:val="00E9109C"/>
    <w:rsid w:val="00E96E0F"/>
    <w:rsid w:val="00E96E62"/>
    <w:rsid w:val="00EA1543"/>
    <w:rsid w:val="00EA1F38"/>
    <w:rsid w:val="00EB1AE6"/>
    <w:rsid w:val="00EB3B12"/>
    <w:rsid w:val="00EC0951"/>
    <w:rsid w:val="00EC17AA"/>
    <w:rsid w:val="00EC193F"/>
    <w:rsid w:val="00ED1D86"/>
    <w:rsid w:val="00ED1DA7"/>
    <w:rsid w:val="00ED7B0B"/>
    <w:rsid w:val="00EF0336"/>
    <w:rsid w:val="00EF11A1"/>
    <w:rsid w:val="00EF5F04"/>
    <w:rsid w:val="00EF64B7"/>
    <w:rsid w:val="00F05400"/>
    <w:rsid w:val="00F12AFE"/>
    <w:rsid w:val="00F12B02"/>
    <w:rsid w:val="00F14038"/>
    <w:rsid w:val="00F26CDB"/>
    <w:rsid w:val="00F453AC"/>
    <w:rsid w:val="00F5268B"/>
    <w:rsid w:val="00F53323"/>
    <w:rsid w:val="00F53F74"/>
    <w:rsid w:val="00F54195"/>
    <w:rsid w:val="00F54BE6"/>
    <w:rsid w:val="00F56473"/>
    <w:rsid w:val="00F57159"/>
    <w:rsid w:val="00F57B35"/>
    <w:rsid w:val="00F610FA"/>
    <w:rsid w:val="00F667B5"/>
    <w:rsid w:val="00F86B7B"/>
    <w:rsid w:val="00F9601B"/>
    <w:rsid w:val="00FA342D"/>
    <w:rsid w:val="00FA4410"/>
    <w:rsid w:val="00FB7E93"/>
    <w:rsid w:val="00FC1DDA"/>
    <w:rsid w:val="00FC79FE"/>
    <w:rsid w:val="00FD45EE"/>
    <w:rsid w:val="00FE12FA"/>
    <w:rsid w:val="00FF2425"/>
    <w:rsid w:val="00FF66F1"/>
    <w:rsid w:val="00FF75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F3"/>
  </w:style>
  <w:style w:type="paragraph" w:styleId="Heading1">
    <w:name w:val="heading 1"/>
    <w:basedOn w:val="Normal"/>
    <w:next w:val="Normal"/>
    <w:link w:val="Heading1Char"/>
    <w:uiPriority w:val="9"/>
    <w:qFormat/>
    <w:rsid w:val="00A16726"/>
    <w:pPr>
      <w:spacing w:line="360" w:lineRule="auto"/>
      <w:outlineLvl w:val="0"/>
    </w:pPr>
    <w:rPr>
      <w:rFonts w:ascii="Arial" w:eastAsia="Calibri" w:hAnsi="Arial" w:cs="Times New Roman"/>
      <w:b/>
      <w:sz w:val="20"/>
      <w:szCs w:val="20"/>
    </w:rPr>
  </w:style>
  <w:style w:type="paragraph" w:styleId="Heading2">
    <w:name w:val="heading 2"/>
    <w:basedOn w:val="Normal"/>
    <w:next w:val="Normal"/>
    <w:link w:val="Heading2Char"/>
    <w:uiPriority w:val="9"/>
    <w:semiHidden/>
    <w:unhideWhenUsed/>
    <w:qFormat/>
    <w:rsid w:val="009266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C46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46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865"/>
    <w:rPr>
      <w:rFonts w:ascii="Tahoma" w:hAnsi="Tahoma" w:cs="Tahoma"/>
      <w:sz w:val="16"/>
      <w:szCs w:val="16"/>
    </w:rPr>
  </w:style>
  <w:style w:type="character" w:customStyle="1" w:styleId="BalloonTextChar">
    <w:name w:val="Balloon Text Char"/>
    <w:basedOn w:val="DefaultParagraphFont"/>
    <w:link w:val="BalloonText"/>
    <w:uiPriority w:val="99"/>
    <w:semiHidden/>
    <w:rsid w:val="00131865"/>
    <w:rPr>
      <w:rFonts w:ascii="Tahoma" w:hAnsi="Tahoma" w:cs="Tahoma"/>
      <w:sz w:val="16"/>
      <w:szCs w:val="16"/>
    </w:rPr>
  </w:style>
  <w:style w:type="character" w:customStyle="1" w:styleId="Heading1Char">
    <w:name w:val="Heading 1 Char"/>
    <w:basedOn w:val="DefaultParagraphFont"/>
    <w:link w:val="Heading1"/>
    <w:uiPriority w:val="9"/>
    <w:rsid w:val="00A16726"/>
    <w:rPr>
      <w:rFonts w:ascii="Arial" w:eastAsia="Calibri" w:hAnsi="Arial" w:cs="Times New Roman"/>
      <w:b/>
      <w:sz w:val="20"/>
      <w:szCs w:val="20"/>
    </w:rPr>
  </w:style>
  <w:style w:type="character" w:customStyle="1" w:styleId="Heading2Char">
    <w:name w:val="Heading 2 Char"/>
    <w:basedOn w:val="DefaultParagraphFont"/>
    <w:link w:val="Heading2"/>
    <w:uiPriority w:val="9"/>
    <w:semiHidden/>
    <w:rsid w:val="0092669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55B00"/>
    <w:rPr>
      <w:i/>
      <w:iCs/>
    </w:rPr>
  </w:style>
  <w:style w:type="character" w:customStyle="1" w:styleId="apple-converted-space">
    <w:name w:val="apple-converted-space"/>
    <w:basedOn w:val="DefaultParagraphFont"/>
    <w:rsid w:val="00855B00"/>
  </w:style>
  <w:style w:type="character" w:styleId="Hyperlink">
    <w:name w:val="Hyperlink"/>
    <w:basedOn w:val="DefaultParagraphFont"/>
    <w:uiPriority w:val="99"/>
    <w:unhideWhenUsed/>
    <w:rsid w:val="00855B00"/>
    <w:rPr>
      <w:color w:val="0000FF"/>
      <w:u w:val="single"/>
    </w:rPr>
  </w:style>
  <w:style w:type="paragraph" w:styleId="ListParagraph">
    <w:name w:val="List Paragraph"/>
    <w:basedOn w:val="Normal"/>
    <w:uiPriority w:val="34"/>
    <w:qFormat/>
    <w:rsid w:val="00B53C2B"/>
    <w:pPr>
      <w:ind w:left="720"/>
      <w:contextualSpacing/>
    </w:pPr>
  </w:style>
  <w:style w:type="character" w:styleId="CommentReference">
    <w:name w:val="annotation reference"/>
    <w:basedOn w:val="DefaultParagraphFont"/>
    <w:uiPriority w:val="99"/>
    <w:semiHidden/>
    <w:unhideWhenUsed/>
    <w:rsid w:val="00973955"/>
    <w:rPr>
      <w:sz w:val="16"/>
      <w:szCs w:val="16"/>
    </w:rPr>
  </w:style>
  <w:style w:type="paragraph" w:styleId="CommentText">
    <w:name w:val="annotation text"/>
    <w:basedOn w:val="Normal"/>
    <w:link w:val="CommentTextChar"/>
    <w:uiPriority w:val="99"/>
    <w:semiHidden/>
    <w:unhideWhenUsed/>
    <w:rsid w:val="00973955"/>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3955"/>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AA224E"/>
  </w:style>
  <w:style w:type="paragraph" w:styleId="CommentSubject">
    <w:name w:val="annotation subject"/>
    <w:basedOn w:val="CommentText"/>
    <w:next w:val="CommentText"/>
    <w:link w:val="CommentSubjectChar"/>
    <w:uiPriority w:val="99"/>
    <w:semiHidden/>
    <w:unhideWhenUsed/>
    <w:rsid w:val="004A191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A1914"/>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E54CC4"/>
    <w:rPr>
      <w:b/>
      <w:bCs/>
    </w:rPr>
  </w:style>
  <w:style w:type="character" w:customStyle="1" w:styleId="textrecord">
    <w:name w:val="textrecord"/>
    <w:basedOn w:val="DefaultParagraphFont"/>
    <w:rsid w:val="00FB7E93"/>
  </w:style>
  <w:style w:type="paragraph" w:styleId="NormalWeb">
    <w:name w:val="Normal (Web)"/>
    <w:basedOn w:val="Normal"/>
    <w:uiPriority w:val="99"/>
    <w:unhideWhenUsed/>
    <w:rsid w:val="005A2724"/>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5A2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87B62"/>
    <w:rPr>
      <w:i/>
      <w:iCs/>
    </w:rPr>
  </w:style>
  <w:style w:type="character" w:customStyle="1" w:styleId="author">
    <w:name w:val="author"/>
    <w:basedOn w:val="DefaultParagraphFont"/>
    <w:rsid w:val="00487B62"/>
  </w:style>
  <w:style w:type="character" w:customStyle="1" w:styleId="pubyear">
    <w:name w:val="pubyear"/>
    <w:basedOn w:val="DefaultParagraphFont"/>
    <w:rsid w:val="00487B62"/>
  </w:style>
  <w:style w:type="character" w:customStyle="1" w:styleId="booktitle">
    <w:name w:val="booktitle"/>
    <w:basedOn w:val="DefaultParagraphFont"/>
    <w:rsid w:val="00487B62"/>
  </w:style>
  <w:style w:type="character" w:customStyle="1" w:styleId="articletitle">
    <w:name w:val="articletitle"/>
    <w:basedOn w:val="DefaultParagraphFont"/>
    <w:rsid w:val="00487B62"/>
  </w:style>
  <w:style w:type="character" w:customStyle="1" w:styleId="journaltitle">
    <w:name w:val="journaltitle"/>
    <w:basedOn w:val="DefaultParagraphFont"/>
    <w:rsid w:val="00487B62"/>
  </w:style>
  <w:style w:type="character" w:customStyle="1" w:styleId="vol">
    <w:name w:val="vol"/>
    <w:basedOn w:val="DefaultParagraphFont"/>
    <w:rsid w:val="00487B62"/>
  </w:style>
  <w:style w:type="character" w:customStyle="1" w:styleId="pagefirst">
    <w:name w:val="pagefirst"/>
    <w:basedOn w:val="DefaultParagraphFont"/>
    <w:rsid w:val="00487B62"/>
  </w:style>
  <w:style w:type="character" w:customStyle="1" w:styleId="pagelast">
    <w:name w:val="pagelast"/>
    <w:basedOn w:val="DefaultParagraphFont"/>
    <w:rsid w:val="00487B62"/>
  </w:style>
  <w:style w:type="character" w:customStyle="1" w:styleId="FontStyle11">
    <w:name w:val="Font Style11"/>
    <w:basedOn w:val="DefaultParagraphFont"/>
    <w:uiPriority w:val="99"/>
    <w:rsid w:val="00C12AEA"/>
    <w:rPr>
      <w:rFonts w:ascii="Times New Roman" w:hAnsi="Times New Roman" w:cs="Times New Roman"/>
      <w:spacing w:val="10"/>
      <w:sz w:val="18"/>
      <w:szCs w:val="18"/>
    </w:rPr>
  </w:style>
  <w:style w:type="character" w:customStyle="1" w:styleId="googqs-tidbit">
    <w:name w:val="goog_qs-tidbit"/>
    <w:basedOn w:val="DefaultParagraphFont"/>
    <w:rsid w:val="005B7C87"/>
  </w:style>
  <w:style w:type="paragraph" w:styleId="Header">
    <w:name w:val="header"/>
    <w:basedOn w:val="Normal"/>
    <w:link w:val="HeaderChar"/>
    <w:uiPriority w:val="99"/>
    <w:unhideWhenUsed/>
    <w:rsid w:val="00E450FA"/>
    <w:pPr>
      <w:tabs>
        <w:tab w:val="center" w:pos="4513"/>
        <w:tab w:val="right" w:pos="9026"/>
      </w:tabs>
    </w:pPr>
  </w:style>
  <w:style w:type="character" w:customStyle="1" w:styleId="HeaderChar">
    <w:name w:val="Header Char"/>
    <w:basedOn w:val="DefaultParagraphFont"/>
    <w:link w:val="Header"/>
    <w:uiPriority w:val="99"/>
    <w:rsid w:val="00E450FA"/>
  </w:style>
  <w:style w:type="paragraph" w:styleId="Footer">
    <w:name w:val="footer"/>
    <w:basedOn w:val="Normal"/>
    <w:link w:val="FooterChar"/>
    <w:uiPriority w:val="99"/>
    <w:unhideWhenUsed/>
    <w:rsid w:val="00E450FA"/>
    <w:pPr>
      <w:tabs>
        <w:tab w:val="center" w:pos="4513"/>
        <w:tab w:val="right" w:pos="9026"/>
      </w:tabs>
    </w:pPr>
  </w:style>
  <w:style w:type="character" w:customStyle="1" w:styleId="FooterChar">
    <w:name w:val="Footer Char"/>
    <w:basedOn w:val="DefaultParagraphFont"/>
    <w:link w:val="Footer"/>
    <w:uiPriority w:val="99"/>
    <w:rsid w:val="00E450FA"/>
  </w:style>
  <w:style w:type="character" w:customStyle="1" w:styleId="Heading4Char">
    <w:name w:val="Heading 4 Char"/>
    <w:basedOn w:val="DefaultParagraphFont"/>
    <w:link w:val="Heading4"/>
    <w:uiPriority w:val="9"/>
    <w:semiHidden/>
    <w:rsid w:val="007C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4641"/>
    <w:rPr>
      <w:rFonts w:asciiTheme="majorHAnsi" w:eastAsiaTheme="majorEastAsia" w:hAnsiTheme="majorHAnsi" w:cstheme="majorBidi"/>
      <w:color w:val="243F60" w:themeColor="accent1" w:themeShade="7F"/>
    </w:rPr>
  </w:style>
  <w:style w:type="character" w:customStyle="1" w:styleId="hdetails">
    <w:name w:val="hdetails"/>
    <w:basedOn w:val="DefaultParagraphFont"/>
    <w:rsid w:val="007C4641"/>
  </w:style>
  <w:style w:type="character" w:customStyle="1" w:styleId="bookmarkicons">
    <w:name w:val="bookmark_icons"/>
    <w:basedOn w:val="DefaultParagraphFont"/>
    <w:rsid w:val="007C4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F3"/>
  </w:style>
  <w:style w:type="paragraph" w:styleId="Heading1">
    <w:name w:val="heading 1"/>
    <w:basedOn w:val="Normal"/>
    <w:next w:val="Normal"/>
    <w:link w:val="Heading1Char"/>
    <w:uiPriority w:val="9"/>
    <w:qFormat/>
    <w:rsid w:val="00A16726"/>
    <w:pPr>
      <w:spacing w:line="360" w:lineRule="auto"/>
      <w:outlineLvl w:val="0"/>
    </w:pPr>
    <w:rPr>
      <w:rFonts w:ascii="Arial" w:eastAsia="Calibri" w:hAnsi="Arial" w:cs="Times New Roman"/>
      <w:b/>
      <w:sz w:val="20"/>
      <w:szCs w:val="20"/>
    </w:rPr>
  </w:style>
  <w:style w:type="paragraph" w:styleId="Heading2">
    <w:name w:val="heading 2"/>
    <w:basedOn w:val="Normal"/>
    <w:next w:val="Normal"/>
    <w:link w:val="Heading2Char"/>
    <w:uiPriority w:val="9"/>
    <w:semiHidden/>
    <w:unhideWhenUsed/>
    <w:qFormat/>
    <w:rsid w:val="009266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C46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46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865"/>
    <w:rPr>
      <w:rFonts w:ascii="Tahoma" w:hAnsi="Tahoma" w:cs="Tahoma"/>
      <w:sz w:val="16"/>
      <w:szCs w:val="16"/>
    </w:rPr>
  </w:style>
  <w:style w:type="character" w:customStyle="1" w:styleId="BalloonTextChar">
    <w:name w:val="Balloon Text Char"/>
    <w:basedOn w:val="DefaultParagraphFont"/>
    <w:link w:val="BalloonText"/>
    <w:uiPriority w:val="99"/>
    <w:semiHidden/>
    <w:rsid w:val="00131865"/>
    <w:rPr>
      <w:rFonts w:ascii="Tahoma" w:hAnsi="Tahoma" w:cs="Tahoma"/>
      <w:sz w:val="16"/>
      <w:szCs w:val="16"/>
    </w:rPr>
  </w:style>
  <w:style w:type="character" w:customStyle="1" w:styleId="Heading1Char">
    <w:name w:val="Heading 1 Char"/>
    <w:basedOn w:val="DefaultParagraphFont"/>
    <w:link w:val="Heading1"/>
    <w:uiPriority w:val="9"/>
    <w:rsid w:val="00A16726"/>
    <w:rPr>
      <w:rFonts w:ascii="Arial" w:eastAsia="Calibri" w:hAnsi="Arial" w:cs="Times New Roman"/>
      <w:b/>
      <w:sz w:val="20"/>
      <w:szCs w:val="20"/>
    </w:rPr>
  </w:style>
  <w:style w:type="character" w:customStyle="1" w:styleId="Heading2Char">
    <w:name w:val="Heading 2 Char"/>
    <w:basedOn w:val="DefaultParagraphFont"/>
    <w:link w:val="Heading2"/>
    <w:uiPriority w:val="9"/>
    <w:semiHidden/>
    <w:rsid w:val="0092669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55B00"/>
    <w:rPr>
      <w:i/>
      <w:iCs/>
    </w:rPr>
  </w:style>
  <w:style w:type="character" w:customStyle="1" w:styleId="apple-converted-space">
    <w:name w:val="apple-converted-space"/>
    <w:basedOn w:val="DefaultParagraphFont"/>
    <w:rsid w:val="00855B00"/>
  </w:style>
  <w:style w:type="character" w:styleId="Hyperlink">
    <w:name w:val="Hyperlink"/>
    <w:basedOn w:val="DefaultParagraphFont"/>
    <w:uiPriority w:val="99"/>
    <w:unhideWhenUsed/>
    <w:rsid w:val="00855B00"/>
    <w:rPr>
      <w:color w:val="0000FF"/>
      <w:u w:val="single"/>
    </w:rPr>
  </w:style>
  <w:style w:type="paragraph" w:styleId="ListParagraph">
    <w:name w:val="List Paragraph"/>
    <w:basedOn w:val="Normal"/>
    <w:uiPriority w:val="34"/>
    <w:qFormat/>
    <w:rsid w:val="00B53C2B"/>
    <w:pPr>
      <w:ind w:left="720"/>
      <w:contextualSpacing/>
    </w:pPr>
  </w:style>
  <w:style w:type="character" w:styleId="CommentReference">
    <w:name w:val="annotation reference"/>
    <w:basedOn w:val="DefaultParagraphFont"/>
    <w:uiPriority w:val="99"/>
    <w:semiHidden/>
    <w:unhideWhenUsed/>
    <w:rsid w:val="00973955"/>
    <w:rPr>
      <w:sz w:val="16"/>
      <w:szCs w:val="16"/>
    </w:rPr>
  </w:style>
  <w:style w:type="paragraph" w:styleId="CommentText">
    <w:name w:val="annotation text"/>
    <w:basedOn w:val="Normal"/>
    <w:link w:val="CommentTextChar"/>
    <w:uiPriority w:val="99"/>
    <w:semiHidden/>
    <w:unhideWhenUsed/>
    <w:rsid w:val="00973955"/>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3955"/>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AA224E"/>
  </w:style>
  <w:style w:type="paragraph" w:styleId="CommentSubject">
    <w:name w:val="annotation subject"/>
    <w:basedOn w:val="CommentText"/>
    <w:next w:val="CommentText"/>
    <w:link w:val="CommentSubjectChar"/>
    <w:uiPriority w:val="99"/>
    <w:semiHidden/>
    <w:unhideWhenUsed/>
    <w:rsid w:val="004A191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A1914"/>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E54CC4"/>
    <w:rPr>
      <w:b/>
      <w:bCs/>
    </w:rPr>
  </w:style>
  <w:style w:type="character" w:customStyle="1" w:styleId="textrecord">
    <w:name w:val="textrecord"/>
    <w:basedOn w:val="DefaultParagraphFont"/>
    <w:rsid w:val="00FB7E93"/>
  </w:style>
  <w:style w:type="paragraph" w:styleId="NormalWeb">
    <w:name w:val="Normal (Web)"/>
    <w:basedOn w:val="Normal"/>
    <w:uiPriority w:val="99"/>
    <w:unhideWhenUsed/>
    <w:rsid w:val="005A2724"/>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5A2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87B62"/>
    <w:rPr>
      <w:i/>
      <w:iCs/>
    </w:rPr>
  </w:style>
  <w:style w:type="character" w:customStyle="1" w:styleId="author">
    <w:name w:val="author"/>
    <w:basedOn w:val="DefaultParagraphFont"/>
    <w:rsid w:val="00487B62"/>
  </w:style>
  <w:style w:type="character" w:customStyle="1" w:styleId="pubyear">
    <w:name w:val="pubyear"/>
    <w:basedOn w:val="DefaultParagraphFont"/>
    <w:rsid w:val="00487B62"/>
  </w:style>
  <w:style w:type="character" w:customStyle="1" w:styleId="booktitle">
    <w:name w:val="booktitle"/>
    <w:basedOn w:val="DefaultParagraphFont"/>
    <w:rsid w:val="00487B62"/>
  </w:style>
  <w:style w:type="character" w:customStyle="1" w:styleId="articletitle">
    <w:name w:val="articletitle"/>
    <w:basedOn w:val="DefaultParagraphFont"/>
    <w:rsid w:val="00487B62"/>
  </w:style>
  <w:style w:type="character" w:customStyle="1" w:styleId="journaltitle">
    <w:name w:val="journaltitle"/>
    <w:basedOn w:val="DefaultParagraphFont"/>
    <w:rsid w:val="00487B62"/>
  </w:style>
  <w:style w:type="character" w:customStyle="1" w:styleId="vol">
    <w:name w:val="vol"/>
    <w:basedOn w:val="DefaultParagraphFont"/>
    <w:rsid w:val="00487B62"/>
  </w:style>
  <w:style w:type="character" w:customStyle="1" w:styleId="pagefirst">
    <w:name w:val="pagefirst"/>
    <w:basedOn w:val="DefaultParagraphFont"/>
    <w:rsid w:val="00487B62"/>
  </w:style>
  <w:style w:type="character" w:customStyle="1" w:styleId="pagelast">
    <w:name w:val="pagelast"/>
    <w:basedOn w:val="DefaultParagraphFont"/>
    <w:rsid w:val="00487B62"/>
  </w:style>
  <w:style w:type="character" w:customStyle="1" w:styleId="FontStyle11">
    <w:name w:val="Font Style11"/>
    <w:basedOn w:val="DefaultParagraphFont"/>
    <w:uiPriority w:val="99"/>
    <w:rsid w:val="00C12AEA"/>
    <w:rPr>
      <w:rFonts w:ascii="Times New Roman" w:hAnsi="Times New Roman" w:cs="Times New Roman"/>
      <w:spacing w:val="10"/>
      <w:sz w:val="18"/>
      <w:szCs w:val="18"/>
    </w:rPr>
  </w:style>
  <w:style w:type="character" w:customStyle="1" w:styleId="googqs-tidbit">
    <w:name w:val="goog_qs-tidbit"/>
    <w:basedOn w:val="DefaultParagraphFont"/>
    <w:rsid w:val="005B7C87"/>
  </w:style>
  <w:style w:type="paragraph" w:styleId="Header">
    <w:name w:val="header"/>
    <w:basedOn w:val="Normal"/>
    <w:link w:val="HeaderChar"/>
    <w:uiPriority w:val="99"/>
    <w:unhideWhenUsed/>
    <w:rsid w:val="00E450FA"/>
    <w:pPr>
      <w:tabs>
        <w:tab w:val="center" w:pos="4513"/>
        <w:tab w:val="right" w:pos="9026"/>
      </w:tabs>
    </w:pPr>
  </w:style>
  <w:style w:type="character" w:customStyle="1" w:styleId="HeaderChar">
    <w:name w:val="Header Char"/>
    <w:basedOn w:val="DefaultParagraphFont"/>
    <w:link w:val="Header"/>
    <w:uiPriority w:val="99"/>
    <w:rsid w:val="00E450FA"/>
  </w:style>
  <w:style w:type="paragraph" w:styleId="Footer">
    <w:name w:val="footer"/>
    <w:basedOn w:val="Normal"/>
    <w:link w:val="FooterChar"/>
    <w:uiPriority w:val="99"/>
    <w:unhideWhenUsed/>
    <w:rsid w:val="00E450FA"/>
    <w:pPr>
      <w:tabs>
        <w:tab w:val="center" w:pos="4513"/>
        <w:tab w:val="right" w:pos="9026"/>
      </w:tabs>
    </w:pPr>
  </w:style>
  <w:style w:type="character" w:customStyle="1" w:styleId="FooterChar">
    <w:name w:val="Footer Char"/>
    <w:basedOn w:val="DefaultParagraphFont"/>
    <w:link w:val="Footer"/>
    <w:uiPriority w:val="99"/>
    <w:rsid w:val="00E450FA"/>
  </w:style>
  <w:style w:type="character" w:customStyle="1" w:styleId="Heading4Char">
    <w:name w:val="Heading 4 Char"/>
    <w:basedOn w:val="DefaultParagraphFont"/>
    <w:link w:val="Heading4"/>
    <w:uiPriority w:val="9"/>
    <w:semiHidden/>
    <w:rsid w:val="007C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4641"/>
    <w:rPr>
      <w:rFonts w:asciiTheme="majorHAnsi" w:eastAsiaTheme="majorEastAsia" w:hAnsiTheme="majorHAnsi" w:cstheme="majorBidi"/>
      <w:color w:val="243F60" w:themeColor="accent1" w:themeShade="7F"/>
    </w:rPr>
  </w:style>
  <w:style w:type="character" w:customStyle="1" w:styleId="hdetails">
    <w:name w:val="hdetails"/>
    <w:basedOn w:val="DefaultParagraphFont"/>
    <w:rsid w:val="007C4641"/>
  </w:style>
  <w:style w:type="character" w:customStyle="1" w:styleId="bookmarkicons">
    <w:name w:val="bookmark_icons"/>
    <w:basedOn w:val="DefaultParagraphFont"/>
    <w:rsid w:val="007C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408">
      <w:bodyDiv w:val="1"/>
      <w:marLeft w:val="0"/>
      <w:marRight w:val="0"/>
      <w:marTop w:val="0"/>
      <w:marBottom w:val="0"/>
      <w:divBdr>
        <w:top w:val="none" w:sz="0" w:space="0" w:color="auto"/>
        <w:left w:val="none" w:sz="0" w:space="0" w:color="auto"/>
        <w:bottom w:val="none" w:sz="0" w:space="0" w:color="auto"/>
        <w:right w:val="none" w:sz="0" w:space="0" w:color="auto"/>
      </w:divBdr>
      <w:divsChild>
        <w:div w:id="285746582">
          <w:marLeft w:val="0"/>
          <w:marRight w:val="0"/>
          <w:marTop w:val="0"/>
          <w:marBottom w:val="0"/>
          <w:divBdr>
            <w:top w:val="none" w:sz="0" w:space="0" w:color="auto"/>
            <w:left w:val="none" w:sz="0" w:space="0" w:color="auto"/>
            <w:bottom w:val="none" w:sz="0" w:space="0" w:color="auto"/>
            <w:right w:val="none" w:sz="0" w:space="0" w:color="auto"/>
          </w:divBdr>
        </w:div>
      </w:divsChild>
    </w:div>
    <w:div w:id="296104850">
      <w:bodyDiv w:val="1"/>
      <w:marLeft w:val="0"/>
      <w:marRight w:val="0"/>
      <w:marTop w:val="0"/>
      <w:marBottom w:val="0"/>
      <w:divBdr>
        <w:top w:val="none" w:sz="0" w:space="0" w:color="auto"/>
        <w:left w:val="none" w:sz="0" w:space="0" w:color="auto"/>
        <w:bottom w:val="none" w:sz="0" w:space="0" w:color="auto"/>
        <w:right w:val="none" w:sz="0" w:space="0" w:color="auto"/>
      </w:divBdr>
    </w:div>
    <w:div w:id="411900461">
      <w:bodyDiv w:val="1"/>
      <w:marLeft w:val="0"/>
      <w:marRight w:val="0"/>
      <w:marTop w:val="0"/>
      <w:marBottom w:val="0"/>
      <w:divBdr>
        <w:top w:val="none" w:sz="0" w:space="0" w:color="auto"/>
        <w:left w:val="none" w:sz="0" w:space="0" w:color="auto"/>
        <w:bottom w:val="none" w:sz="0" w:space="0" w:color="auto"/>
        <w:right w:val="none" w:sz="0" w:space="0" w:color="auto"/>
      </w:divBdr>
    </w:div>
    <w:div w:id="503015166">
      <w:bodyDiv w:val="1"/>
      <w:marLeft w:val="0"/>
      <w:marRight w:val="0"/>
      <w:marTop w:val="0"/>
      <w:marBottom w:val="0"/>
      <w:divBdr>
        <w:top w:val="none" w:sz="0" w:space="0" w:color="auto"/>
        <w:left w:val="none" w:sz="0" w:space="0" w:color="auto"/>
        <w:bottom w:val="none" w:sz="0" w:space="0" w:color="auto"/>
        <w:right w:val="none" w:sz="0" w:space="0" w:color="auto"/>
      </w:divBdr>
    </w:div>
    <w:div w:id="547184338">
      <w:bodyDiv w:val="1"/>
      <w:marLeft w:val="0"/>
      <w:marRight w:val="0"/>
      <w:marTop w:val="0"/>
      <w:marBottom w:val="0"/>
      <w:divBdr>
        <w:top w:val="none" w:sz="0" w:space="0" w:color="auto"/>
        <w:left w:val="none" w:sz="0" w:space="0" w:color="auto"/>
        <w:bottom w:val="none" w:sz="0" w:space="0" w:color="auto"/>
        <w:right w:val="none" w:sz="0" w:space="0" w:color="auto"/>
      </w:divBdr>
    </w:div>
    <w:div w:id="589238423">
      <w:bodyDiv w:val="1"/>
      <w:marLeft w:val="0"/>
      <w:marRight w:val="0"/>
      <w:marTop w:val="0"/>
      <w:marBottom w:val="0"/>
      <w:divBdr>
        <w:top w:val="none" w:sz="0" w:space="0" w:color="auto"/>
        <w:left w:val="none" w:sz="0" w:space="0" w:color="auto"/>
        <w:bottom w:val="none" w:sz="0" w:space="0" w:color="auto"/>
        <w:right w:val="none" w:sz="0" w:space="0" w:color="auto"/>
      </w:divBdr>
    </w:div>
    <w:div w:id="647439183">
      <w:bodyDiv w:val="1"/>
      <w:marLeft w:val="0"/>
      <w:marRight w:val="0"/>
      <w:marTop w:val="0"/>
      <w:marBottom w:val="0"/>
      <w:divBdr>
        <w:top w:val="none" w:sz="0" w:space="0" w:color="auto"/>
        <w:left w:val="none" w:sz="0" w:space="0" w:color="auto"/>
        <w:bottom w:val="none" w:sz="0" w:space="0" w:color="auto"/>
        <w:right w:val="none" w:sz="0" w:space="0" w:color="auto"/>
      </w:divBdr>
    </w:div>
    <w:div w:id="702050758">
      <w:bodyDiv w:val="1"/>
      <w:marLeft w:val="0"/>
      <w:marRight w:val="0"/>
      <w:marTop w:val="0"/>
      <w:marBottom w:val="0"/>
      <w:divBdr>
        <w:top w:val="none" w:sz="0" w:space="0" w:color="auto"/>
        <w:left w:val="none" w:sz="0" w:space="0" w:color="auto"/>
        <w:bottom w:val="none" w:sz="0" w:space="0" w:color="auto"/>
        <w:right w:val="none" w:sz="0" w:space="0" w:color="auto"/>
      </w:divBdr>
    </w:div>
    <w:div w:id="950817317">
      <w:bodyDiv w:val="1"/>
      <w:marLeft w:val="0"/>
      <w:marRight w:val="0"/>
      <w:marTop w:val="0"/>
      <w:marBottom w:val="0"/>
      <w:divBdr>
        <w:top w:val="none" w:sz="0" w:space="0" w:color="auto"/>
        <w:left w:val="none" w:sz="0" w:space="0" w:color="auto"/>
        <w:bottom w:val="none" w:sz="0" w:space="0" w:color="auto"/>
        <w:right w:val="none" w:sz="0" w:space="0" w:color="auto"/>
      </w:divBdr>
    </w:div>
    <w:div w:id="1412046578">
      <w:bodyDiv w:val="1"/>
      <w:marLeft w:val="0"/>
      <w:marRight w:val="0"/>
      <w:marTop w:val="0"/>
      <w:marBottom w:val="0"/>
      <w:divBdr>
        <w:top w:val="none" w:sz="0" w:space="0" w:color="auto"/>
        <w:left w:val="none" w:sz="0" w:space="0" w:color="auto"/>
        <w:bottom w:val="none" w:sz="0" w:space="0" w:color="auto"/>
        <w:right w:val="none" w:sz="0" w:space="0" w:color="auto"/>
      </w:divBdr>
      <w:divsChild>
        <w:div w:id="916594399">
          <w:marLeft w:val="0"/>
          <w:marRight w:val="0"/>
          <w:marTop w:val="0"/>
          <w:marBottom w:val="0"/>
          <w:divBdr>
            <w:top w:val="none" w:sz="0" w:space="0" w:color="auto"/>
            <w:left w:val="none" w:sz="0" w:space="0" w:color="auto"/>
            <w:bottom w:val="none" w:sz="0" w:space="0" w:color="auto"/>
            <w:right w:val="none" w:sz="0" w:space="0" w:color="auto"/>
          </w:divBdr>
          <w:divsChild>
            <w:div w:id="1133601180">
              <w:marLeft w:val="0"/>
              <w:marRight w:val="0"/>
              <w:marTop w:val="0"/>
              <w:marBottom w:val="0"/>
              <w:divBdr>
                <w:top w:val="none" w:sz="0" w:space="0" w:color="auto"/>
                <w:left w:val="none" w:sz="0" w:space="0" w:color="auto"/>
                <w:bottom w:val="none" w:sz="0" w:space="0" w:color="auto"/>
                <w:right w:val="none" w:sz="0" w:space="0" w:color="auto"/>
              </w:divBdr>
              <w:divsChild>
                <w:div w:id="1402562175">
                  <w:marLeft w:val="0"/>
                  <w:marRight w:val="0"/>
                  <w:marTop w:val="0"/>
                  <w:marBottom w:val="0"/>
                  <w:divBdr>
                    <w:top w:val="none" w:sz="0" w:space="0" w:color="auto"/>
                    <w:left w:val="none" w:sz="0" w:space="0" w:color="auto"/>
                    <w:bottom w:val="none" w:sz="0" w:space="0" w:color="auto"/>
                    <w:right w:val="none" w:sz="0" w:space="0" w:color="auto"/>
                  </w:divBdr>
                </w:div>
                <w:div w:id="14170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3122">
      <w:bodyDiv w:val="1"/>
      <w:marLeft w:val="0"/>
      <w:marRight w:val="0"/>
      <w:marTop w:val="0"/>
      <w:marBottom w:val="0"/>
      <w:divBdr>
        <w:top w:val="none" w:sz="0" w:space="0" w:color="auto"/>
        <w:left w:val="none" w:sz="0" w:space="0" w:color="auto"/>
        <w:bottom w:val="none" w:sz="0" w:space="0" w:color="auto"/>
        <w:right w:val="none" w:sz="0" w:space="0" w:color="auto"/>
      </w:divBdr>
    </w:div>
    <w:div w:id="1505705727">
      <w:bodyDiv w:val="1"/>
      <w:marLeft w:val="0"/>
      <w:marRight w:val="0"/>
      <w:marTop w:val="0"/>
      <w:marBottom w:val="0"/>
      <w:divBdr>
        <w:top w:val="none" w:sz="0" w:space="0" w:color="auto"/>
        <w:left w:val="none" w:sz="0" w:space="0" w:color="auto"/>
        <w:bottom w:val="none" w:sz="0" w:space="0" w:color="auto"/>
        <w:right w:val="none" w:sz="0" w:space="0" w:color="auto"/>
      </w:divBdr>
    </w:div>
    <w:div w:id="1579443049">
      <w:bodyDiv w:val="1"/>
      <w:marLeft w:val="0"/>
      <w:marRight w:val="0"/>
      <w:marTop w:val="0"/>
      <w:marBottom w:val="0"/>
      <w:divBdr>
        <w:top w:val="none" w:sz="0" w:space="0" w:color="auto"/>
        <w:left w:val="none" w:sz="0" w:space="0" w:color="auto"/>
        <w:bottom w:val="none" w:sz="0" w:space="0" w:color="auto"/>
        <w:right w:val="none" w:sz="0" w:space="0" w:color="auto"/>
      </w:divBdr>
    </w:div>
    <w:div w:id="1897735709">
      <w:bodyDiv w:val="1"/>
      <w:marLeft w:val="0"/>
      <w:marRight w:val="0"/>
      <w:marTop w:val="0"/>
      <w:marBottom w:val="0"/>
      <w:divBdr>
        <w:top w:val="none" w:sz="0" w:space="0" w:color="auto"/>
        <w:left w:val="none" w:sz="0" w:space="0" w:color="auto"/>
        <w:bottom w:val="none" w:sz="0" w:space="0" w:color="auto"/>
        <w:right w:val="none" w:sz="0" w:space="0" w:color="auto"/>
      </w:divBdr>
    </w:div>
    <w:div w:id="1900747822">
      <w:bodyDiv w:val="1"/>
      <w:marLeft w:val="0"/>
      <w:marRight w:val="0"/>
      <w:marTop w:val="0"/>
      <w:marBottom w:val="0"/>
      <w:divBdr>
        <w:top w:val="none" w:sz="0" w:space="0" w:color="auto"/>
        <w:left w:val="none" w:sz="0" w:space="0" w:color="auto"/>
        <w:bottom w:val="none" w:sz="0" w:space="0" w:color="auto"/>
        <w:right w:val="none" w:sz="0" w:space="0" w:color="auto"/>
      </w:divBdr>
    </w:div>
    <w:div w:id="1935477912">
      <w:bodyDiv w:val="1"/>
      <w:marLeft w:val="0"/>
      <w:marRight w:val="0"/>
      <w:marTop w:val="0"/>
      <w:marBottom w:val="0"/>
      <w:divBdr>
        <w:top w:val="none" w:sz="0" w:space="0" w:color="auto"/>
        <w:left w:val="none" w:sz="0" w:space="0" w:color="auto"/>
        <w:bottom w:val="none" w:sz="0" w:space="0" w:color="auto"/>
        <w:right w:val="none" w:sz="0" w:space="0" w:color="auto"/>
      </w:divBdr>
    </w:div>
    <w:div w:id="2038777907">
      <w:bodyDiv w:val="1"/>
      <w:marLeft w:val="0"/>
      <w:marRight w:val="0"/>
      <w:marTop w:val="0"/>
      <w:marBottom w:val="0"/>
      <w:divBdr>
        <w:top w:val="none" w:sz="0" w:space="0" w:color="auto"/>
        <w:left w:val="none" w:sz="0" w:space="0" w:color="auto"/>
        <w:bottom w:val="none" w:sz="0" w:space="0" w:color="auto"/>
        <w:right w:val="none" w:sz="0" w:space="0" w:color="auto"/>
      </w:divBdr>
    </w:div>
    <w:div w:id="20607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llections.europarchive.org/tna/20081027092120/http://www.defra.gov.uk/cor%20porate/regulat/forms/erdp/esa/npesasp.pdf" TargetMode="External"/><Relationship Id="rId10" Type="http://schemas.openxmlformats.org/officeDocument/2006/relationships/hyperlink" Target="http://www.naturalengland.org.uk/ourwork/farming/funding/es/hl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5BD52-5E53-ED42-ACA0-20EF22F8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1967</Words>
  <Characters>11213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Marrs</dc:creator>
  <cp:lastModifiedBy>Simon Thorp</cp:lastModifiedBy>
  <cp:revision>5</cp:revision>
  <cp:lastPrinted>2014-06-11T14:21:00Z</cp:lastPrinted>
  <dcterms:created xsi:type="dcterms:W3CDTF">2014-06-13T14:11:00Z</dcterms:created>
  <dcterms:modified xsi:type="dcterms:W3CDTF">2014-07-12T19:43:00Z</dcterms:modified>
</cp:coreProperties>
</file>